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2EB" w:rsidRDefault="006C42EB" w:rsidP="002973C2">
      <w:pPr>
        <w:autoSpaceDE w:val="0"/>
        <w:autoSpaceDN w:val="0"/>
        <w:bidi w:val="0"/>
        <w:adjustRightInd w:val="0"/>
        <w:spacing w:after="0" w:line="240" w:lineRule="auto"/>
        <w:rPr>
          <w:rFonts w:ascii="AdvP92DE" w:hAnsi="AdvP92DE" w:cs="AdvP92DE"/>
          <w:sz w:val="24"/>
          <w:szCs w:val="24"/>
        </w:rPr>
      </w:pPr>
      <w:bookmarkStart w:id="0" w:name="_GoBack"/>
      <w:bookmarkEnd w:id="0"/>
      <w:proofErr w:type="gramStart"/>
      <w:r w:rsidRPr="002973C2">
        <w:rPr>
          <w:rFonts w:ascii="AdvP92DE" w:hAnsi="AdvP92DE" w:cs="AdvP92DE"/>
          <w:sz w:val="24"/>
          <w:szCs w:val="24"/>
          <w:highlight w:val="lightGray"/>
        </w:rPr>
        <w:t>L</w:t>
      </w:r>
      <w:r w:rsidR="002973C2" w:rsidRPr="002973C2">
        <w:rPr>
          <w:rFonts w:ascii="AdvP92DE" w:hAnsi="AdvP92DE" w:cs="AdvP92DE"/>
          <w:sz w:val="24"/>
          <w:szCs w:val="24"/>
          <w:highlight w:val="lightGray"/>
        </w:rPr>
        <w:t xml:space="preserve">ieberman, A.F., </w:t>
      </w:r>
      <w:proofErr w:type="spellStart"/>
      <w:r w:rsidRPr="002973C2">
        <w:rPr>
          <w:rFonts w:ascii="AdvP92DE" w:hAnsi="AdvP92DE" w:cs="AdvP92DE"/>
          <w:sz w:val="24"/>
          <w:szCs w:val="24"/>
          <w:highlight w:val="lightGray"/>
        </w:rPr>
        <w:t>I</w:t>
      </w:r>
      <w:r w:rsidR="002973C2" w:rsidRPr="002973C2">
        <w:rPr>
          <w:rFonts w:ascii="AdvP92DE" w:hAnsi="AdvP92DE" w:cs="AdvP92DE"/>
          <w:sz w:val="24"/>
          <w:szCs w:val="24"/>
          <w:highlight w:val="lightGray"/>
        </w:rPr>
        <w:t>ppen</w:t>
      </w:r>
      <w:proofErr w:type="spellEnd"/>
      <w:r w:rsidR="002973C2" w:rsidRPr="002973C2">
        <w:rPr>
          <w:rFonts w:ascii="AdvP92DE" w:hAnsi="AdvP92DE" w:cs="AdvP92DE"/>
          <w:sz w:val="24"/>
          <w:szCs w:val="24"/>
          <w:highlight w:val="lightGray"/>
        </w:rPr>
        <w:t>, C.</w:t>
      </w:r>
      <w:r w:rsidRPr="002973C2">
        <w:rPr>
          <w:rFonts w:ascii="AdvP92DE" w:hAnsi="AdvP92DE" w:cs="AdvP92DE"/>
          <w:sz w:val="24"/>
          <w:szCs w:val="24"/>
          <w:highlight w:val="lightGray"/>
        </w:rPr>
        <w:t xml:space="preserve">, </w:t>
      </w:r>
      <w:r w:rsidR="002973C2" w:rsidRPr="002973C2">
        <w:rPr>
          <w:rFonts w:ascii="AdvP92DE" w:hAnsi="AdvP92DE" w:cs="AdvP92DE"/>
          <w:sz w:val="24"/>
          <w:szCs w:val="24"/>
          <w:highlight w:val="lightGray"/>
        </w:rPr>
        <w:t>&amp;</w:t>
      </w:r>
      <w:r w:rsidRPr="002973C2">
        <w:rPr>
          <w:rFonts w:ascii="AdvP92DE" w:hAnsi="AdvP92DE" w:cs="AdvP92DE"/>
          <w:sz w:val="24"/>
          <w:szCs w:val="24"/>
          <w:highlight w:val="lightGray"/>
        </w:rPr>
        <w:t xml:space="preserve"> V</w:t>
      </w:r>
      <w:r w:rsidR="002973C2" w:rsidRPr="002973C2">
        <w:rPr>
          <w:rFonts w:ascii="AdvP92DE" w:hAnsi="AdvP92DE" w:cs="AdvP92DE"/>
          <w:sz w:val="24"/>
          <w:szCs w:val="24"/>
          <w:highlight w:val="lightGray"/>
        </w:rPr>
        <w:t>anhorn, P</w:t>
      </w:r>
      <w:r w:rsidRPr="002973C2">
        <w:rPr>
          <w:rFonts w:ascii="AdvP92DE" w:hAnsi="AdvP92DE" w:cs="AdvP92DE"/>
          <w:sz w:val="24"/>
          <w:szCs w:val="24"/>
          <w:highlight w:val="lightGray"/>
        </w:rPr>
        <w:t>.</w:t>
      </w:r>
      <w:r w:rsidR="002973C2" w:rsidRPr="002973C2">
        <w:rPr>
          <w:rFonts w:ascii="AdvP92DE" w:hAnsi="AdvP92DE" w:cs="AdvP92DE"/>
          <w:sz w:val="24"/>
          <w:szCs w:val="24"/>
          <w:highlight w:val="lightGray"/>
        </w:rPr>
        <w:t xml:space="preserve"> (2006).</w:t>
      </w:r>
      <w:proofErr w:type="gramEnd"/>
      <w:r w:rsidRPr="002973C2">
        <w:rPr>
          <w:rFonts w:ascii="AdvP92DE" w:hAnsi="AdvP92DE" w:cs="AdvP92DE"/>
          <w:sz w:val="24"/>
          <w:szCs w:val="24"/>
          <w:highlight w:val="lightGray"/>
        </w:rPr>
        <w:t xml:space="preserve"> Child</w:t>
      </w:r>
      <w:r w:rsidR="002973C2" w:rsidRPr="002973C2">
        <w:rPr>
          <w:rFonts w:ascii="AdvP0005" w:hAnsi="AdvP0005" w:cs="AdvP0005"/>
          <w:sz w:val="24"/>
          <w:szCs w:val="24"/>
          <w:highlight w:val="lightGray"/>
        </w:rPr>
        <w:t>-</w:t>
      </w:r>
      <w:r w:rsidR="002973C2" w:rsidRPr="002973C2">
        <w:rPr>
          <w:rFonts w:ascii="AdvP92DE" w:hAnsi="AdvP92DE" w:cs="AdvP92DE"/>
          <w:sz w:val="24"/>
          <w:szCs w:val="24"/>
          <w:highlight w:val="lightGray"/>
        </w:rPr>
        <w:t>Parent Psychotherapy: 6-month f</w:t>
      </w:r>
      <w:r w:rsidRPr="002973C2">
        <w:rPr>
          <w:rFonts w:ascii="AdvP92DE" w:hAnsi="AdvP92DE" w:cs="AdvP92DE"/>
          <w:sz w:val="24"/>
          <w:szCs w:val="24"/>
          <w:highlight w:val="lightGray"/>
        </w:rPr>
        <w:t>ollow-up</w:t>
      </w:r>
      <w:r w:rsidR="002973C2" w:rsidRPr="002973C2">
        <w:rPr>
          <w:rFonts w:ascii="AdvP92DE" w:hAnsi="AdvP92DE" w:cs="AdvP92DE"/>
          <w:sz w:val="24"/>
          <w:szCs w:val="24"/>
          <w:highlight w:val="lightGray"/>
        </w:rPr>
        <w:t xml:space="preserve"> of a randomized controlled t</w:t>
      </w:r>
      <w:r w:rsidRPr="002973C2">
        <w:rPr>
          <w:rFonts w:ascii="AdvP92DE" w:hAnsi="AdvP92DE" w:cs="AdvP92DE"/>
          <w:sz w:val="24"/>
          <w:szCs w:val="24"/>
          <w:highlight w:val="lightGray"/>
        </w:rPr>
        <w:t xml:space="preserve">rial. </w:t>
      </w:r>
      <w:proofErr w:type="gramStart"/>
      <w:r w:rsidRPr="002973C2">
        <w:rPr>
          <w:rFonts w:ascii="AdvP92DE" w:hAnsi="AdvP92DE" w:cs="AdvP92DE"/>
          <w:i/>
          <w:iCs/>
          <w:sz w:val="24"/>
          <w:szCs w:val="24"/>
          <w:highlight w:val="lightGray"/>
        </w:rPr>
        <w:t>A</w:t>
      </w:r>
      <w:r w:rsidR="002973C2" w:rsidRPr="002973C2">
        <w:rPr>
          <w:rFonts w:ascii="AdvP92DE" w:hAnsi="AdvP92DE" w:cs="AdvP92DE"/>
          <w:i/>
          <w:iCs/>
          <w:sz w:val="24"/>
          <w:szCs w:val="24"/>
          <w:highlight w:val="lightGray"/>
        </w:rPr>
        <w:t>merican</w:t>
      </w:r>
      <w:r w:rsidRPr="002973C2">
        <w:rPr>
          <w:rFonts w:ascii="AdvP92DE" w:hAnsi="AdvP92DE" w:cs="AdvP92DE"/>
          <w:i/>
          <w:iCs/>
          <w:sz w:val="24"/>
          <w:szCs w:val="24"/>
          <w:highlight w:val="lightGray"/>
        </w:rPr>
        <w:t xml:space="preserve"> A</w:t>
      </w:r>
      <w:r w:rsidR="002973C2" w:rsidRPr="002973C2">
        <w:rPr>
          <w:rFonts w:ascii="AdvP92DE" w:hAnsi="AdvP92DE" w:cs="AdvP92DE"/>
          <w:i/>
          <w:iCs/>
          <w:sz w:val="24"/>
          <w:szCs w:val="24"/>
          <w:highlight w:val="lightGray"/>
        </w:rPr>
        <w:t>cademy of</w:t>
      </w:r>
      <w:r w:rsidRPr="002973C2">
        <w:rPr>
          <w:rFonts w:ascii="AdvP92DE" w:hAnsi="AdvP92DE" w:cs="AdvP92DE"/>
          <w:i/>
          <w:iCs/>
          <w:sz w:val="24"/>
          <w:szCs w:val="24"/>
          <w:highlight w:val="lightGray"/>
        </w:rPr>
        <w:t xml:space="preserve"> C</w:t>
      </w:r>
      <w:r w:rsidR="002973C2" w:rsidRPr="002973C2">
        <w:rPr>
          <w:rFonts w:ascii="AdvP92DE" w:hAnsi="AdvP92DE" w:cs="AdvP92DE"/>
          <w:i/>
          <w:iCs/>
          <w:sz w:val="24"/>
          <w:szCs w:val="24"/>
          <w:highlight w:val="lightGray"/>
        </w:rPr>
        <w:t xml:space="preserve">hild and </w:t>
      </w:r>
      <w:r w:rsidRPr="002973C2">
        <w:rPr>
          <w:rFonts w:ascii="AdvP92DE" w:hAnsi="AdvP92DE" w:cs="AdvP92DE"/>
          <w:i/>
          <w:iCs/>
          <w:sz w:val="24"/>
          <w:szCs w:val="24"/>
          <w:highlight w:val="lightGray"/>
        </w:rPr>
        <w:t>A</w:t>
      </w:r>
      <w:r w:rsidR="002973C2" w:rsidRPr="002973C2">
        <w:rPr>
          <w:rFonts w:ascii="AdvP92DE" w:hAnsi="AdvP92DE" w:cs="AdvP92DE"/>
          <w:i/>
          <w:iCs/>
          <w:sz w:val="24"/>
          <w:szCs w:val="24"/>
          <w:highlight w:val="lightGray"/>
        </w:rPr>
        <w:t>dolescent</w:t>
      </w:r>
      <w:r w:rsidRPr="002973C2">
        <w:rPr>
          <w:rFonts w:ascii="AdvP92DE" w:hAnsi="AdvP92DE" w:cs="AdvP92DE"/>
          <w:i/>
          <w:iCs/>
          <w:sz w:val="24"/>
          <w:szCs w:val="24"/>
          <w:highlight w:val="lightGray"/>
        </w:rPr>
        <w:t>.</w:t>
      </w:r>
      <w:proofErr w:type="gramEnd"/>
      <w:r w:rsidRPr="002973C2">
        <w:rPr>
          <w:rFonts w:ascii="AdvP92DE" w:hAnsi="AdvP92DE" w:cs="AdvP92DE"/>
          <w:i/>
          <w:iCs/>
          <w:sz w:val="24"/>
          <w:szCs w:val="24"/>
          <w:highlight w:val="lightGray"/>
        </w:rPr>
        <w:t xml:space="preserve"> P</w:t>
      </w:r>
      <w:r w:rsidR="002973C2" w:rsidRPr="002973C2">
        <w:rPr>
          <w:rFonts w:ascii="AdvP92DE" w:hAnsi="AdvP92DE" w:cs="AdvP92DE"/>
          <w:i/>
          <w:iCs/>
          <w:sz w:val="24"/>
          <w:szCs w:val="24"/>
          <w:highlight w:val="lightGray"/>
        </w:rPr>
        <w:t>sychiatry, 45</w:t>
      </w:r>
      <w:r w:rsidR="002973C2" w:rsidRPr="002973C2">
        <w:rPr>
          <w:rFonts w:ascii="AdvP92DE" w:hAnsi="AdvP92DE" w:cs="AdvP92DE"/>
          <w:sz w:val="24"/>
          <w:szCs w:val="24"/>
          <w:highlight w:val="lightGray"/>
        </w:rPr>
        <w:t>(</w:t>
      </w:r>
      <w:r w:rsidRPr="002973C2">
        <w:rPr>
          <w:rFonts w:ascii="AdvP92DE" w:hAnsi="AdvP92DE" w:cs="AdvP92DE"/>
          <w:sz w:val="24"/>
          <w:szCs w:val="24"/>
          <w:highlight w:val="lightGray"/>
        </w:rPr>
        <w:t>8</w:t>
      </w:r>
      <w:r w:rsidR="002973C2" w:rsidRPr="002973C2">
        <w:rPr>
          <w:rFonts w:ascii="AdvP92DE" w:hAnsi="AdvP92DE" w:cs="AdvP92DE"/>
          <w:sz w:val="24"/>
          <w:szCs w:val="24"/>
          <w:highlight w:val="lightGray"/>
        </w:rPr>
        <w:t>)</w:t>
      </w:r>
      <w:r w:rsidRPr="002973C2">
        <w:rPr>
          <w:rFonts w:ascii="AdvP92DE" w:hAnsi="AdvP92DE" w:cs="AdvP92DE"/>
          <w:sz w:val="24"/>
          <w:szCs w:val="24"/>
          <w:highlight w:val="lightGray"/>
        </w:rPr>
        <w:t>,</w:t>
      </w:r>
      <w:r w:rsidRPr="004774F2">
        <w:rPr>
          <w:rFonts w:ascii="AdvP92DE" w:hAnsi="AdvP92DE" w:cs="AdvP92DE"/>
          <w:sz w:val="24"/>
          <w:szCs w:val="24"/>
        </w:rPr>
        <w:t xml:space="preserve"> </w:t>
      </w:r>
      <w:r w:rsidR="002973C2">
        <w:rPr>
          <w:rFonts w:ascii="AdvP92DE" w:hAnsi="AdvP92DE" w:cs="AdvP92DE"/>
          <w:sz w:val="24"/>
          <w:szCs w:val="24"/>
        </w:rPr>
        <w:t>913-918.</w:t>
      </w:r>
    </w:p>
    <w:p w:rsidR="006D43F6" w:rsidRDefault="006D43F6" w:rsidP="006D43F6">
      <w:pPr>
        <w:autoSpaceDE w:val="0"/>
        <w:autoSpaceDN w:val="0"/>
        <w:bidi w:val="0"/>
        <w:adjustRightInd w:val="0"/>
        <w:spacing w:after="0" w:line="240" w:lineRule="auto"/>
        <w:rPr>
          <w:rFonts w:ascii="AdvP92DE" w:hAnsi="AdvP92DE" w:cs="AdvP92DE"/>
          <w:sz w:val="24"/>
          <w:szCs w:val="24"/>
        </w:rPr>
      </w:pPr>
    </w:p>
    <w:p w:rsidR="006D43F6" w:rsidRDefault="006D43F6" w:rsidP="00D41E65">
      <w:pPr>
        <w:autoSpaceDE w:val="0"/>
        <w:autoSpaceDN w:val="0"/>
        <w:adjustRightInd w:val="0"/>
        <w:spacing w:after="0" w:line="360" w:lineRule="auto"/>
        <w:rPr>
          <w:rFonts w:ascii="AdvP92DE" w:hAnsi="AdvP92DE"/>
          <w:sz w:val="24"/>
          <w:szCs w:val="24"/>
          <w:rtl/>
        </w:rPr>
      </w:pPr>
      <w:r w:rsidRPr="00D41E65">
        <w:rPr>
          <w:rFonts w:ascii="AdvP92DE" w:hAnsi="AdvP92DE" w:hint="cs"/>
          <w:sz w:val="24"/>
          <w:szCs w:val="24"/>
          <w:u w:val="single"/>
          <w:rtl/>
        </w:rPr>
        <w:t>מטרות</w:t>
      </w:r>
      <w:r>
        <w:rPr>
          <w:rFonts w:ascii="AdvP92DE" w:hAnsi="AdvP92DE" w:hint="cs"/>
          <w:sz w:val="24"/>
          <w:szCs w:val="24"/>
          <w:rtl/>
        </w:rPr>
        <w:t>: לבדוק משך השיפור בתסמיני הילד והאם 6 חודשים לאחר סיום פסיכותרפיה ילד-הורה (</w:t>
      </w:r>
      <w:r>
        <w:rPr>
          <w:rFonts w:ascii="AdvP92DE" w:hAnsi="AdvP92DE" w:hint="cs"/>
          <w:sz w:val="24"/>
          <w:szCs w:val="24"/>
        </w:rPr>
        <w:t>CPP</w:t>
      </w:r>
      <w:r>
        <w:rPr>
          <w:rFonts w:ascii="AdvP92DE" w:hAnsi="AdvP92DE" w:hint="cs"/>
          <w:sz w:val="24"/>
          <w:szCs w:val="24"/>
          <w:rtl/>
        </w:rPr>
        <w:t>).</w:t>
      </w:r>
    </w:p>
    <w:p w:rsidR="006D43F6" w:rsidRDefault="006D43F6" w:rsidP="00D41E65">
      <w:pPr>
        <w:autoSpaceDE w:val="0"/>
        <w:autoSpaceDN w:val="0"/>
        <w:adjustRightInd w:val="0"/>
        <w:spacing w:after="0" w:line="360" w:lineRule="auto"/>
        <w:rPr>
          <w:rFonts w:ascii="AdvP92DE" w:hAnsi="AdvP92DE"/>
          <w:sz w:val="24"/>
          <w:szCs w:val="24"/>
          <w:rtl/>
        </w:rPr>
      </w:pPr>
      <w:r w:rsidRPr="00D41E65">
        <w:rPr>
          <w:rFonts w:ascii="AdvP92DE" w:hAnsi="AdvP92DE" w:hint="cs"/>
          <w:sz w:val="24"/>
          <w:szCs w:val="24"/>
          <w:u w:val="single"/>
          <w:rtl/>
        </w:rPr>
        <w:t>שיטה</w:t>
      </w:r>
      <w:r>
        <w:rPr>
          <w:rFonts w:ascii="AdvP92DE" w:hAnsi="AdvP92DE" w:hint="cs"/>
          <w:sz w:val="24"/>
          <w:szCs w:val="24"/>
          <w:rtl/>
        </w:rPr>
        <w:t xml:space="preserve">: 75 דיאדות רב-אתניות </w:t>
      </w:r>
      <w:r w:rsidR="00D41E65">
        <w:rPr>
          <w:rFonts w:ascii="AdvP92DE" w:hAnsi="AdvP92DE" w:hint="cs"/>
          <w:sz w:val="24"/>
          <w:szCs w:val="24"/>
          <w:rtl/>
        </w:rPr>
        <w:t xml:space="preserve">של </w:t>
      </w:r>
      <w:r>
        <w:rPr>
          <w:rFonts w:ascii="AdvP92DE" w:hAnsi="AdvP92DE" w:hint="cs"/>
          <w:sz w:val="24"/>
          <w:szCs w:val="24"/>
          <w:rtl/>
        </w:rPr>
        <w:t xml:space="preserve">אם-ילד בגיל הגן מרקעים סוציו-אקונומיים שונים שויכו באקראי לקבוצת </w:t>
      </w:r>
      <w:r>
        <w:rPr>
          <w:rFonts w:ascii="AdvP92DE" w:hAnsi="AdvP92DE" w:hint="cs"/>
          <w:sz w:val="24"/>
          <w:szCs w:val="24"/>
        </w:rPr>
        <w:t>CPP</w:t>
      </w:r>
      <w:r>
        <w:rPr>
          <w:rFonts w:ascii="AdvP92DE" w:hAnsi="AdvP92DE" w:hint="cs"/>
          <w:sz w:val="24"/>
          <w:szCs w:val="24"/>
          <w:rtl/>
        </w:rPr>
        <w:t xml:space="preserve"> או לקבוצת ניהול+הפניה קהילתית לטיפול אישי. הילדים היו בני 3-5. הערכות המעקב נערכו 6 חודשים לאחר סיום שנת טיפול. אמהות מילאו את </w:t>
      </w:r>
      <w:r w:rsidRPr="00D41E65">
        <w:rPr>
          <w:rFonts w:ascii="AdvP92DE" w:hAnsi="AdvP92DE" w:hint="cs"/>
          <w:i/>
          <w:iCs/>
          <w:sz w:val="24"/>
          <w:szCs w:val="24"/>
          <w:rtl/>
        </w:rPr>
        <w:t>רשימת התנהגות הילד</w:t>
      </w:r>
      <w:r w:rsidR="006B4E1D">
        <w:rPr>
          <w:rFonts w:ascii="AdvP92DE" w:hAnsi="AdvP92DE" w:hint="cs"/>
          <w:sz w:val="24"/>
          <w:szCs w:val="24"/>
          <w:rtl/>
        </w:rPr>
        <w:t xml:space="preserve"> ו</w:t>
      </w:r>
      <w:r w:rsidR="006B4E1D" w:rsidRPr="00D41E65">
        <w:rPr>
          <w:rFonts w:ascii="AdvP92DE" w:hAnsi="AdvP92DE" w:hint="cs"/>
          <w:i/>
          <w:iCs/>
          <w:sz w:val="24"/>
          <w:szCs w:val="24"/>
          <w:rtl/>
        </w:rPr>
        <w:t xml:space="preserve">רשימת תסמינים מתוקנת </w:t>
      </w:r>
      <w:r w:rsidR="006B4E1D">
        <w:rPr>
          <w:rFonts w:ascii="AdvP92DE" w:hAnsi="AdvP92DE" w:hint="cs"/>
          <w:sz w:val="24"/>
          <w:szCs w:val="24"/>
          <w:rtl/>
        </w:rPr>
        <w:t>כדי לבדוק את תסמיני הילד והאם.</w:t>
      </w:r>
    </w:p>
    <w:p w:rsidR="006B4E1D" w:rsidRDefault="006B4E1D" w:rsidP="00D41E65">
      <w:pPr>
        <w:autoSpaceDE w:val="0"/>
        <w:autoSpaceDN w:val="0"/>
        <w:adjustRightInd w:val="0"/>
        <w:spacing w:after="0" w:line="360" w:lineRule="auto"/>
        <w:rPr>
          <w:rFonts w:ascii="AdvP92DE" w:hAnsi="AdvP92DE"/>
          <w:sz w:val="24"/>
          <w:szCs w:val="24"/>
          <w:rtl/>
        </w:rPr>
      </w:pPr>
      <w:r w:rsidRPr="00D41E65">
        <w:rPr>
          <w:rFonts w:ascii="AdvP92DE" w:hAnsi="AdvP92DE" w:hint="cs"/>
          <w:sz w:val="24"/>
          <w:szCs w:val="24"/>
          <w:u w:val="single"/>
          <w:rtl/>
        </w:rPr>
        <w:t>תוצאות</w:t>
      </w:r>
      <w:r>
        <w:rPr>
          <w:rFonts w:ascii="AdvP92DE" w:hAnsi="AdvP92DE" w:hint="cs"/>
          <w:sz w:val="24"/>
          <w:szCs w:val="24"/>
          <w:rtl/>
        </w:rPr>
        <w:t>: ניתוח מדידות-חוזרות של המודל הליניארי הכללי (</w:t>
      </w:r>
      <w:r>
        <w:rPr>
          <w:rFonts w:ascii="AdvP92DE" w:hAnsi="AdvP92DE" w:hint="cs"/>
          <w:sz w:val="24"/>
          <w:szCs w:val="24"/>
        </w:rPr>
        <w:t>GLM</w:t>
      </w:r>
      <w:r>
        <w:rPr>
          <w:rFonts w:ascii="AdvP92DE" w:hAnsi="AdvP92DE" w:hint="cs"/>
          <w:sz w:val="24"/>
          <w:szCs w:val="24"/>
          <w:rtl/>
        </w:rPr>
        <w:t>)</w:t>
      </w:r>
      <w:r w:rsidR="00D41E65">
        <w:rPr>
          <w:rFonts w:ascii="AdvP92DE" w:hAnsi="AdvP92DE" w:hint="cs"/>
          <w:sz w:val="24"/>
          <w:szCs w:val="24"/>
          <w:rtl/>
        </w:rPr>
        <w:t xml:space="preserve"> תמך</w:t>
      </w:r>
      <w:r>
        <w:rPr>
          <w:rFonts w:ascii="AdvP92DE" w:hAnsi="AdvP92DE" w:hint="cs"/>
          <w:sz w:val="24"/>
          <w:szCs w:val="24"/>
          <w:rtl/>
        </w:rPr>
        <w:t xml:space="preserve"> בהתמדה של </w:t>
      </w:r>
      <w:r>
        <w:rPr>
          <w:rFonts w:ascii="AdvP92DE" w:hAnsi="AdvP92DE" w:hint="cs"/>
          <w:sz w:val="24"/>
          <w:szCs w:val="24"/>
        </w:rPr>
        <w:t>CPP</w:t>
      </w:r>
      <w:r>
        <w:rPr>
          <w:rFonts w:ascii="AdvP92DE" w:hAnsi="AdvP92DE" w:hint="cs"/>
          <w:sz w:val="24"/>
          <w:szCs w:val="24"/>
          <w:rtl/>
        </w:rPr>
        <w:t xml:space="preserve"> עם אינטראקציות קבוצה </w:t>
      </w:r>
      <w:r>
        <w:rPr>
          <w:rFonts w:ascii="AdvP92DE" w:hAnsi="AdvP92DE"/>
          <w:sz w:val="24"/>
          <w:szCs w:val="24"/>
        </w:rPr>
        <w:t>x</w:t>
      </w:r>
      <w:r>
        <w:rPr>
          <w:rFonts w:ascii="AdvP92DE" w:hAnsi="AdvP92DE" w:hint="cs"/>
          <w:sz w:val="24"/>
          <w:szCs w:val="24"/>
          <w:rtl/>
        </w:rPr>
        <w:t xml:space="preserve"> זמן לגבי בעיות התנהגות כוללות של הילדים</w:t>
      </w:r>
      <w:r w:rsidR="00D41E65">
        <w:rPr>
          <w:rFonts w:ascii="AdvP92DE" w:hAnsi="AdvP92DE" w:hint="cs"/>
          <w:sz w:val="24"/>
          <w:szCs w:val="24"/>
          <w:rtl/>
        </w:rPr>
        <w:t xml:space="preserve"> אך לא הראה</w:t>
      </w:r>
      <w:r>
        <w:rPr>
          <w:rFonts w:ascii="AdvP92DE" w:hAnsi="AdvP92DE" w:hint="cs"/>
          <w:sz w:val="24"/>
          <w:szCs w:val="24"/>
          <w:rtl/>
        </w:rPr>
        <w:t xml:space="preserve"> מובהקות לגבי תסמיני האמהות.</w:t>
      </w:r>
    </w:p>
    <w:p w:rsidR="006B4E1D" w:rsidRDefault="006B4E1D" w:rsidP="00D41E65">
      <w:pPr>
        <w:autoSpaceDE w:val="0"/>
        <w:autoSpaceDN w:val="0"/>
        <w:adjustRightInd w:val="0"/>
        <w:spacing w:after="0" w:line="360" w:lineRule="auto"/>
        <w:rPr>
          <w:rFonts w:ascii="AdvP92DE" w:hAnsi="AdvP92DE"/>
          <w:sz w:val="24"/>
          <w:szCs w:val="24"/>
          <w:rtl/>
        </w:rPr>
      </w:pPr>
      <w:r w:rsidRPr="00D41E65">
        <w:rPr>
          <w:rFonts w:ascii="AdvP92DE" w:hAnsi="AdvP92DE" w:hint="cs"/>
          <w:sz w:val="24"/>
          <w:szCs w:val="24"/>
          <w:u w:val="single"/>
          <w:rtl/>
        </w:rPr>
        <w:t>מסקנות</w:t>
      </w:r>
      <w:r>
        <w:rPr>
          <w:rFonts w:ascii="AdvP92DE" w:hAnsi="AdvP92DE" w:hint="cs"/>
          <w:sz w:val="24"/>
          <w:szCs w:val="24"/>
          <w:rtl/>
        </w:rPr>
        <w:t>: הממצאים מספקים ראיות נוספות ל</w:t>
      </w:r>
      <w:r w:rsidR="00D41E65">
        <w:rPr>
          <w:rFonts w:ascii="AdvP92DE" w:hAnsi="AdvP92DE" w:hint="cs"/>
          <w:sz w:val="24"/>
          <w:szCs w:val="24"/>
          <w:rtl/>
        </w:rPr>
        <w:t>יעילות</w:t>
      </w:r>
      <w:r>
        <w:rPr>
          <w:rFonts w:ascii="AdvP92DE" w:hAnsi="AdvP92DE" w:hint="cs"/>
          <w:sz w:val="24"/>
          <w:szCs w:val="24"/>
          <w:rtl/>
        </w:rPr>
        <w:t xml:space="preserve"> ולהתמדה של </w:t>
      </w:r>
      <w:r>
        <w:rPr>
          <w:rFonts w:ascii="AdvP92DE" w:hAnsi="AdvP92DE" w:hint="cs"/>
          <w:sz w:val="24"/>
          <w:szCs w:val="24"/>
        </w:rPr>
        <w:t>CPP</w:t>
      </w:r>
      <w:r>
        <w:rPr>
          <w:rFonts w:ascii="AdvP92DE" w:hAnsi="AdvP92DE" w:hint="cs"/>
          <w:sz w:val="24"/>
          <w:szCs w:val="24"/>
          <w:rtl/>
        </w:rPr>
        <w:t xml:space="preserve"> באוכלוסיה זו ומדגישות את</w:t>
      </w:r>
      <w:r w:rsidR="00D41E65">
        <w:rPr>
          <w:rFonts w:ascii="AdvP92DE" w:hAnsi="AdvP92DE" w:hint="cs"/>
          <w:sz w:val="24"/>
          <w:szCs w:val="24"/>
          <w:rtl/>
        </w:rPr>
        <w:t xml:space="preserve"> חשיבות המיקוד ביחסים בעת טיפול</w:t>
      </w:r>
      <w:r>
        <w:rPr>
          <w:rFonts w:ascii="AdvP92DE" w:hAnsi="AdvP92DE" w:hint="cs"/>
          <w:sz w:val="24"/>
          <w:szCs w:val="24"/>
          <w:rtl/>
        </w:rPr>
        <w:t xml:space="preserve"> בילדי גן שחוו טראומה.</w:t>
      </w:r>
    </w:p>
    <w:p w:rsidR="006B4E1D" w:rsidRPr="00D41E65" w:rsidRDefault="006B4E1D" w:rsidP="00D41E65">
      <w:pPr>
        <w:autoSpaceDE w:val="0"/>
        <w:autoSpaceDN w:val="0"/>
        <w:adjustRightInd w:val="0"/>
        <w:spacing w:after="0" w:line="360" w:lineRule="auto"/>
        <w:jc w:val="center"/>
        <w:rPr>
          <w:rFonts w:ascii="AdvP92DE" w:hAnsi="AdvP92DE"/>
          <w:b/>
          <w:bCs/>
          <w:sz w:val="24"/>
          <w:szCs w:val="24"/>
          <w:rtl/>
        </w:rPr>
      </w:pPr>
      <w:r w:rsidRPr="00D41E65">
        <w:rPr>
          <w:rFonts w:ascii="AdvP92DE" w:hAnsi="AdvP92DE" w:hint="cs"/>
          <w:b/>
          <w:bCs/>
          <w:sz w:val="24"/>
          <w:szCs w:val="24"/>
          <w:rtl/>
        </w:rPr>
        <w:t>מבוא</w:t>
      </w:r>
    </w:p>
    <w:p w:rsidR="006B4E1D" w:rsidRDefault="006B4E1D" w:rsidP="00D41E65">
      <w:pPr>
        <w:autoSpaceDE w:val="0"/>
        <w:autoSpaceDN w:val="0"/>
        <w:adjustRightInd w:val="0"/>
        <w:spacing w:after="0" w:line="360" w:lineRule="auto"/>
        <w:rPr>
          <w:rFonts w:ascii="AdvP92DE" w:hAnsi="AdvP92DE"/>
          <w:sz w:val="24"/>
          <w:szCs w:val="24"/>
          <w:rtl/>
        </w:rPr>
      </w:pPr>
      <w:r>
        <w:rPr>
          <w:rFonts w:ascii="AdvP92DE" w:hAnsi="AdvP92DE" w:hint="cs"/>
          <w:sz w:val="24"/>
          <w:szCs w:val="24"/>
          <w:rtl/>
        </w:rPr>
        <w:t>יש ראיות אמפיריות נרחבות לכך שילדי גן שעדים לאלימות בין ההורים מג</w:t>
      </w:r>
      <w:r w:rsidR="00D41E65">
        <w:rPr>
          <w:rFonts w:ascii="AdvP92DE" w:hAnsi="AdvP92DE" w:hint="cs"/>
          <w:sz w:val="24"/>
          <w:szCs w:val="24"/>
          <w:rtl/>
        </w:rPr>
        <w:t>יבים בשיעורים מוגברים של הפ</w:t>
      </w:r>
      <w:r>
        <w:rPr>
          <w:rFonts w:ascii="AdvP92DE" w:hAnsi="AdvP92DE" w:hint="cs"/>
          <w:sz w:val="24"/>
          <w:szCs w:val="24"/>
          <w:rtl/>
        </w:rPr>
        <w:t xml:space="preserve">רעות בויסות עצמי ובתפקוד רגשי, חברתי וקוגניטיבי. הממצאים </w:t>
      </w:r>
      <w:r w:rsidR="00D41E65">
        <w:rPr>
          <w:rFonts w:ascii="AdvP92DE" w:hAnsi="AdvP92DE" w:hint="cs"/>
          <w:sz w:val="24"/>
          <w:szCs w:val="24"/>
          <w:rtl/>
        </w:rPr>
        <w:t>מדגישים את החשיבות של פיתוח וב</w:t>
      </w:r>
      <w:r>
        <w:rPr>
          <w:rFonts w:ascii="AdvP92DE" w:hAnsi="AdvP92DE" w:hint="cs"/>
          <w:sz w:val="24"/>
          <w:szCs w:val="24"/>
          <w:rtl/>
        </w:rPr>
        <w:t xml:space="preserve">דיקה של </w:t>
      </w:r>
      <w:r w:rsidR="00D41E65">
        <w:rPr>
          <w:rFonts w:ascii="AdvP92DE" w:hAnsi="AdvP92DE" w:hint="cs"/>
          <w:sz w:val="24"/>
          <w:szCs w:val="24"/>
          <w:rtl/>
        </w:rPr>
        <w:t>יעילות</w:t>
      </w:r>
      <w:r>
        <w:rPr>
          <w:rFonts w:ascii="AdvP92DE" w:hAnsi="AdvP92DE" w:hint="cs"/>
          <w:sz w:val="24"/>
          <w:szCs w:val="24"/>
          <w:rtl/>
        </w:rPr>
        <w:t xml:space="preserve"> </w:t>
      </w:r>
      <w:r w:rsidR="00D41E65">
        <w:rPr>
          <w:rFonts w:ascii="AdvP92DE" w:hAnsi="AdvP92DE" w:hint="cs"/>
          <w:sz w:val="24"/>
          <w:szCs w:val="24"/>
          <w:rtl/>
        </w:rPr>
        <w:t>גישות</w:t>
      </w:r>
      <w:r>
        <w:rPr>
          <w:rFonts w:ascii="AdvP92DE" w:hAnsi="AdvP92DE" w:hint="cs"/>
          <w:sz w:val="24"/>
          <w:szCs w:val="24"/>
          <w:rtl/>
        </w:rPr>
        <w:t xml:space="preserve"> הטיפול שמקלות על תסמינים ומחזירות את ת</w:t>
      </w:r>
      <w:r w:rsidR="00D41E65">
        <w:rPr>
          <w:rFonts w:ascii="AdvP92DE" w:hAnsi="AdvP92DE" w:hint="cs"/>
          <w:sz w:val="24"/>
          <w:szCs w:val="24"/>
          <w:rtl/>
        </w:rPr>
        <w:t>נופת ההתפתחות של הילד לכיוון ה</w:t>
      </w:r>
      <w:r>
        <w:rPr>
          <w:rFonts w:ascii="AdvP92DE" w:hAnsi="AdvP92DE" w:hint="cs"/>
          <w:sz w:val="24"/>
          <w:szCs w:val="24"/>
          <w:rtl/>
        </w:rPr>
        <w:t xml:space="preserve">תפקוד </w:t>
      </w:r>
      <w:r w:rsidR="00D41E65">
        <w:rPr>
          <w:rFonts w:ascii="AdvP92DE" w:hAnsi="AdvP92DE" w:hint="cs"/>
          <w:sz w:val="24"/>
          <w:szCs w:val="24"/>
          <w:rtl/>
        </w:rPr>
        <w:t>ה</w:t>
      </w:r>
      <w:r>
        <w:rPr>
          <w:rFonts w:ascii="AdvP92DE" w:hAnsi="AdvP92DE" w:hint="cs"/>
          <w:sz w:val="24"/>
          <w:szCs w:val="24"/>
          <w:rtl/>
        </w:rPr>
        <w:t>בריא. פסיכותרפיה ילד-הורה היא טיפול על בסיס יחסים שהראה יעילות בצמצום בעיות התנהגות ותסמיני הפרעות פ</w:t>
      </w:r>
      <w:r w:rsidR="00D41E65">
        <w:rPr>
          <w:rFonts w:ascii="AdvP92DE" w:hAnsi="AdvP92DE" w:hint="cs"/>
          <w:sz w:val="24"/>
          <w:szCs w:val="24"/>
          <w:rtl/>
        </w:rPr>
        <w:t xml:space="preserve">וסט-טראומטיות </w:t>
      </w:r>
      <w:r>
        <w:rPr>
          <w:rFonts w:ascii="AdvP92DE" w:hAnsi="AdvP92DE" w:hint="cs"/>
          <w:sz w:val="24"/>
          <w:szCs w:val="24"/>
          <w:rtl/>
        </w:rPr>
        <w:t>בקרב ילדים ואמהותיהן בקבוצות מעוטות הכנסה ומגוונות מבחינה תרבותית ו</w:t>
      </w:r>
      <w:r w:rsidR="00D41E65">
        <w:rPr>
          <w:rFonts w:ascii="AdvP92DE" w:hAnsi="AdvP92DE" w:hint="cs"/>
          <w:sz w:val="24"/>
          <w:szCs w:val="24"/>
          <w:rtl/>
        </w:rPr>
        <w:t xml:space="preserve">בקרב </w:t>
      </w:r>
      <w:r>
        <w:rPr>
          <w:rFonts w:ascii="AdvP92DE" w:hAnsi="AdvP92DE" w:hint="cs"/>
          <w:sz w:val="24"/>
          <w:szCs w:val="24"/>
          <w:rtl/>
        </w:rPr>
        <w:t>אמהות מוכות</w:t>
      </w:r>
      <w:r w:rsidR="00D41E65">
        <w:rPr>
          <w:rFonts w:ascii="AdvP92DE" w:hAnsi="AdvP92DE" w:hint="cs"/>
          <w:sz w:val="24"/>
          <w:szCs w:val="24"/>
          <w:rtl/>
        </w:rPr>
        <w:t xml:space="preserve">, בהשוואה לקבוצת </w:t>
      </w:r>
      <w:r>
        <w:rPr>
          <w:rFonts w:ascii="AdvP92DE" w:hAnsi="AdvP92DE" w:hint="cs"/>
          <w:sz w:val="24"/>
          <w:szCs w:val="24"/>
          <w:rtl/>
        </w:rPr>
        <w:t xml:space="preserve">ביקורת שקיבלה שילוב </w:t>
      </w:r>
      <w:r w:rsidR="00D41E65">
        <w:rPr>
          <w:rFonts w:ascii="AdvP92DE" w:hAnsi="AdvP92DE" w:hint="cs"/>
          <w:sz w:val="24"/>
          <w:szCs w:val="24"/>
          <w:rtl/>
        </w:rPr>
        <w:t>של ניהול מקרה ופסיכותרפיה אישית</w:t>
      </w:r>
      <w:r>
        <w:rPr>
          <w:rFonts w:ascii="AdvP92DE" w:hAnsi="AdvP92DE" w:hint="cs"/>
          <w:sz w:val="24"/>
          <w:szCs w:val="24"/>
          <w:rtl/>
        </w:rPr>
        <w:t>. ההבדל בשיפור מעלה את ה</w:t>
      </w:r>
      <w:r w:rsidR="00D41E65">
        <w:rPr>
          <w:rFonts w:ascii="AdvP92DE" w:hAnsi="AdvP92DE" w:hint="cs"/>
          <w:sz w:val="24"/>
          <w:szCs w:val="24"/>
          <w:rtl/>
        </w:rPr>
        <w:t>שא</w:t>
      </w:r>
      <w:r>
        <w:rPr>
          <w:rFonts w:ascii="AdvP92DE" w:hAnsi="AdvP92DE" w:hint="cs"/>
          <w:sz w:val="24"/>
          <w:szCs w:val="24"/>
          <w:rtl/>
        </w:rPr>
        <w:t>לה של התמדת טיפול ה-</w:t>
      </w:r>
      <w:r>
        <w:rPr>
          <w:rFonts w:ascii="AdvP92DE" w:hAnsi="AdvP92DE" w:hint="cs"/>
          <w:sz w:val="24"/>
          <w:szCs w:val="24"/>
        </w:rPr>
        <w:t>CPP</w:t>
      </w:r>
      <w:r>
        <w:rPr>
          <w:rFonts w:ascii="AdvP92DE" w:hAnsi="AdvP92DE" w:hint="cs"/>
          <w:sz w:val="24"/>
          <w:szCs w:val="24"/>
          <w:rtl/>
        </w:rPr>
        <w:t xml:space="preserve"> ביום ההתערבות. </w:t>
      </w:r>
      <w:r w:rsidRPr="00D41E65">
        <w:rPr>
          <w:rFonts w:ascii="AdvP92DE" w:hAnsi="AdvP92DE" w:hint="cs"/>
          <w:sz w:val="24"/>
          <w:szCs w:val="24"/>
          <w:highlight w:val="yellow"/>
          <w:rtl/>
        </w:rPr>
        <w:t>הקביעה לגבי ההתמדה של רווחי הטיפול חשובה תיאורטית משום שגישה טיפולית זו מבוססת על ההנחה</w:t>
      </w:r>
      <w:r w:rsidR="00D41E65" w:rsidRPr="00D41E65">
        <w:rPr>
          <w:rFonts w:ascii="AdvP92DE" w:hAnsi="AdvP92DE" w:hint="cs"/>
          <w:sz w:val="24"/>
          <w:szCs w:val="24"/>
          <w:highlight w:val="yellow"/>
          <w:rtl/>
        </w:rPr>
        <w:t xml:space="preserve"> שלהתמקדות ביחסי אם-ילד כמנגנון </w:t>
      </w:r>
      <w:r w:rsidRPr="00D41E65">
        <w:rPr>
          <w:rFonts w:ascii="AdvP92DE" w:hAnsi="AdvP92DE" w:hint="cs"/>
          <w:sz w:val="24"/>
          <w:szCs w:val="24"/>
          <w:highlight w:val="yellow"/>
          <w:rtl/>
        </w:rPr>
        <w:t>טיפולי לשינוי</w:t>
      </w:r>
      <w:r w:rsidR="00E128F1" w:rsidRPr="00D41E65">
        <w:rPr>
          <w:rFonts w:ascii="AdvP92DE" w:hAnsi="AdvP92DE" w:hint="cs"/>
          <w:sz w:val="24"/>
          <w:szCs w:val="24"/>
          <w:highlight w:val="yellow"/>
          <w:rtl/>
        </w:rPr>
        <w:t xml:space="preserve"> </w:t>
      </w:r>
      <w:r w:rsidR="00D41E65" w:rsidRPr="00D41E65">
        <w:rPr>
          <w:rFonts w:ascii="AdvP92DE" w:hAnsi="AdvP92DE" w:hint="cs"/>
          <w:sz w:val="24"/>
          <w:szCs w:val="24"/>
          <w:highlight w:val="yellow"/>
          <w:rtl/>
        </w:rPr>
        <w:t>יהיה</w:t>
      </w:r>
      <w:r w:rsidR="00E128F1" w:rsidRPr="00D41E65">
        <w:rPr>
          <w:rFonts w:ascii="AdvP92DE" w:hAnsi="AdvP92DE" w:hint="cs"/>
          <w:sz w:val="24"/>
          <w:szCs w:val="24"/>
          <w:highlight w:val="yellow"/>
          <w:rtl/>
        </w:rPr>
        <w:t xml:space="preserve"> ערך שמחזק ומשמר את עצמו בגלל הכשירות המשופרת של האם בהגיבה נכון לצרכים הרגשיים של הילד</w:t>
      </w:r>
      <w:r w:rsidR="00E128F1">
        <w:rPr>
          <w:rFonts w:ascii="AdvP92DE" w:hAnsi="AdvP92DE" w:hint="cs"/>
          <w:sz w:val="24"/>
          <w:szCs w:val="24"/>
          <w:rtl/>
        </w:rPr>
        <w:t>. המחקר הנוכחי הלך בעקבות המדגם המקורי כדי לבדוק אם רווחי הטיפול בילדים ואמותיהם נשמרו למשך 6 חודשים.</w:t>
      </w:r>
    </w:p>
    <w:p w:rsidR="00E128F1" w:rsidRDefault="00E128F1" w:rsidP="00D41E65">
      <w:pPr>
        <w:autoSpaceDE w:val="0"/>
        <w:autoSpaceDN w:val="0"/>
        <w:adjustRightInd w:val="0"/>
        <w:spacing w:after="0" w:line="360" w:lineRule="auto"/>
        <w:rPr>
          <w:rFonts w:ascii="AdvP92DE" w:hAnsi="AdvP92DE"/>
          <w:sz w:val="24"/>
          <w:szCs w:val="24"/>
          <w:rtl/>
        </w:rPr>
      </w:pPr>
      <w:proofErr w:type="gramStart"/>
      <w:r>
        <w:rPr>
          <w:rFonts w:ascii="AdvP92DE" w:hAnsi="AdvP92DE" w:hint="cs"/>
          <w:sz w:val="24"/>
          <w:szCs w:val="24"/>
        </w:rPr>
        <w:t>CPP</w:t>
      </w:r>
      <w:r>
        <w:rPr>
          <w:rFonts w:ascii="AdvP92DE" w:hAnsi="AdvP92DE" w:hint="cs"/>
          <w:sz w:val="24"/>
          <w:szCs w:val="24"/>
          <w:rtl/>
        </w:rPr>
        <w:t xml:space="preserve"> </w:t>
      </w:r>
      <w:r w:rsidR="00D41E65">
        <w:rPr>
          <w:rFonts w:ascii="AdvP92DE" w:hAnsi="AdvP92DE" w:hint="cs"/>
          <w:sz w:val="24"/>
          <w:szCs w:val="24"/>
          <w:rtl/>
        </w:rPr>
        <w:t xml:space="preserve"> </w:t>
      </w:r>
      <w:r>
        <w:rPr>
          <w:rFonts w:ascii="AdvP92DE" w:hAnsi="AdvP92DE" w:hint="cs"/>
          <w:sz w:val="24"/>
          <w:szCs w:val="24"/>
          <w:rtl/>
        </w:rPr>
        <w:t>משלב</w:t>
      </w:r>
      <w:proofErr w:type="gramEnd"/>
      <w:r>
        <w:rPr>
          <w:rFonts w:ascii="AdvP92DE" w:hAnsi="AdvP92DE" w:hint="cs"/>
          <w:sz w:val="24"/>
          <w:szCs w:val="24"/>
          <w:rtl/>
        </w:rPr>
        <w:t xml:space="preserve"> </w:t>
      </w:r>
      <w:r w:rsidR="00D41E65">
        <w:rPr>
          <w:rFonts w:ascii="AdvP92DE" w:hAnsi="AdvP92DE" w:hint="cs"/>
          <w:sz w:val="24"/>
          <w:szCs w:val="24"/>
          <w:rtl/>
        </w:rPr>
        <w:t xml:space="preserve">היבטים </w:t>
      </w:r>
      <w:r>
        <w:rPr>
          <w:rFonts w:ascii="AdvP92DE" w:hAnsi="AdvP92DE" w:hint="cs"/>
          <w:sz w:val="24"/>
          <w:szCs w:val="24"/>
          <w:rtl/>
        </w:rPr>
        <w:t>מתיאוריות פסיכו דינמיות, ת</w:t>
      </w:r>
      <w:r w:rsidR="00D41E65">
        <w:rPr>
          <w:rFonts w:ascii="AdvP92DE" w:hAnsi="AdvP92DE" w:hint="cs"/>
          <w:sz w:val="24"/>
          <w:szCs w:val="24"/>
          <w:rtl/>
        </w:rPr>
        <w:t>יאוריית ה</w:t>
      </w:r>
      <w:r>
        <w:rPr>
          <w:rFonts w:ascii="AdvP92DE" w:hAnsi="AdvP92DE" w:hint="cs"/>
          <w:sz w:val="24"/>
          <w:szCs w:val="24"/>
          <w:rtl/>
        </w:rPr>
        <w:t xml:space="preserve">התקשרות, טראומה, </w:t>
      </w:r>
      <w:r w:rsidR="00D41E65">
        <w:rPr>
          <w:rFonts w:ascii="AdvP92DE" w:hAnsi="AdvP92DE" w:hint="cs"/>
          <w:sz w:val="24"/>
          <w:szCs w:val="24"/>
          <w:rtl/>
        </w:rPr>
        <w:t xml:space="preserve">תיאוריות </w:t>
      </w:r>
      <w:r>
        <w:rPr>
          <w:rFonts w:ascii="AdvP92DE" w:hAnsi="AdvP92DE" w:hint="cs"/>
          <w:sz w:val="24"/>
          <w:szCs w:val="24"/>
          <w:rtl/>
        </w:rPr>
        <w:t>קוגניטיביות</w:t>
      </w:r>
      <w:r w:rsidR="00D41E65">
        <w:rPr>
          <w:rFonts w:ascii="AdvP92DE" w:hAnsi="AdvP92DE" w:hint="cs"/>
          <w:sz w:val="24"/>
          <w:szCs w:val="24"/>
          <w:rtl/>
        </w:rPr>
        <w:t>,</w:t>
      </w:r>
      <w:r>
        <w:rPr>
          <w:rFonts w:ascii="AdvP92DE" w:hAnsi="AdvP92DE" w:hint="cs"/>
          <w:sz w:val="24"/>
          <w:szCs w:val="24"/>
          <w:rtl/>
        </w:rPr>
        <w:t xml:space="preserve"> התנהגותיות</w:t>
      </w:r>
      <w:r w:rsidR="00D41E65">
        <w:rPr>
          <w:rFonts w:ascii="AdvP92DE" w:hAnsi="AdvP92DE" w:hint="cs"/>
          <w:sz w:val="24"/>
          <w:szCs w:val="24"/>
          <w:rtl/>
        </w:rPr>
        <w:t>,</w:t>
      </w:r>
      <w:r>
        <w:rPr>
          <w:rFonts w:ascii="AdvP92DE" w:hAnsi="AdvP92DE" w:hint="cs"/>
          <w:sz w:val="24"/>
          <w:szCs w:val="24"/>
          <w:rtl/>
        </w:rPr>
        <w:t xml:space="preserve"> ותיאוריות למידה חברתיות. יחסי הורה ילד משמשים ככלי לשיפור התפקוד הרגשי, </w:t>
      </w:r>
      <w:r w:rsidR="00D41E65">
        <w:rPr>
          <w:rFonts w:ascii="AdvP92DE" w:hAnsi="AdvP92DE" w:hint="cs"/>
          <w:sz w:val="24"/>
          <w:szCs w:val="24"/>
          <w:rtl/>
        </w:rPr>
        <w:t>ה</w:t>
      </w:r>
      <w:r>
        <w:rPr>
          <w:rFonts w:ascii="AdvP92DE" w:hAnsi="AdvP92DE" w:hint="cs"/>
          <w:sz w:val="24"/>
          <w:szCs w:val="24"/>
          <w:rtl/>
        </w:rPr>
        <w:t>קוגניטיבי ו</w:t>
      </w:r>
      <w:r w:rsidR="00D41E65">
        <w:rPr>
          <w:rFonts w:ascii="AdvP92DE" w:hAnsi="AdvP92DE" w:hint="cs"/>
          <w:sz w:val="24"/>
          <w:szCs w:val="24"/>
          <w:rtl/>
        </w:rPr>
        <w:t>ה</w:t>
      </w:r>
      <w:r>
        <w:rPr>
          <w:rFonts w:ascii="AdvP92DE" w:hAnsi="AdvP92DE" w:hint="cs"/>
          <w:sz w:val="24"/>
          <w:szCs w:val="24"/>
          <w:rtl/>
        </w:rPr>
        <w:t xml:space="preserve">חברתי דרך </w:t>
      </w:r>
      <w:r w:rsidR="00D41E65">
        <w:rPr>
          <w:rFonts w:ascii="AdvP92DE" w:hAnsi="AdvP92DE" w:hint="cs"/>
          <w:sz w:val="24"/>
          <w:szCs w:val="24"/>
          <w:rtl/>
        </w:rPr>
        <w:t>התמקדות</w:t>
      </w:r>
      <w:r>
        <w:rPr>
          <w:rFonts w:ascii="AdvP92DE" w:hAnsi="AdvP92DE" w:hint="cs"/>
          <w:sz w:val="24"/>
          <w:szCs w:val="24"/>
          <w:rtl/>
        </w:rPr>
        <w:t xml:space="preserve"> בביטחון, ויסות רגש</w:t>
      </w:r>
      <w:r w:rsidR="00D41E65">
        <w:rPr>
          <w:rFonts w:ascii="AdvP92DE" w:hAnsi="AdvP92DE" w:hint="cs"/>
          <w:sz w:val="24"/>
          <w:szCs w:val="24"/>
          <w:rtl/>
        </w:rPr>
        <w:t xml:space="preserve">, </w:t>
      </w:r>
      <w:r>
        <w:rPr>
          <w:rFonts w:ascii="AdvP92DE" w:hAnsi="AdvP92DE" w:hint="cs"/>
          <w:sz w:val="24"/>
          <w:szCs w:val="24"/>
          <w:rtl/>
        </w:rPr>
        <w:t xml:space="preserve">בנייה משותפת של נרטיב טראומה ומעורבות במטרות ופעילויות הולמות התפתחותית. מדריך הטיפול של </w:t>
      </w:r>
      <w:r>
        <w:rPr>
          <w:rFonts w:ascii="AdvP92DE" w:hAnsi="AdvP92DE" w:hint="cs"/>
          <w:sz w:val="24"/>
          <w:szCs w:val="24"/>
        </w:rPr>
        <w:t>CPP</w:t>
      </w:r>
      <w:r>
        <w:rPr>
          <w:rFonts w:ascii="AdvP92DE" w:hAnsi="AdvP92DE" w:hint="cs"/>
          <w:sz w:val="24"/>
          <w:szCs w:val="24"/>
          <w:rtl/>
        </w:rPr>
        <w:t xml:space="preserve"> מתאר אסטרטגיו</w:t>
      </w:r>
      <w:r w:rsidR="00D41E65">
        <w:rPr>
          <w:rFonts w:ascii="AdvP92DE" w:hAnsi="AdvP92DE" w:hint="cs"/>
          <w:sz w:val="24"/>
          <w:szCs w:val="24"/>
          <w:rtl/>
        </w:rPr>
        <w:t>ת טיפול ומספק דוגמאות קליניות לה</w:t>
      </w:r>
      <w:r>
        <w:rPr>
          <w:rFonts w:ascii="AdvP92DE" w:hAnsi="AdvP92DE" w:hint="cs"/>
          <w:sz w:val="24"/>
          <w:szCs w:val="24"/>
          <w:rtl/>
        </w:rPr>
        <w:t xml:space="preserve">תייחסות לתחומים הבאים: משחק, חוסר-ארגון סנסורי-מוטורי ושיבוש קצבים ביולוגיים; </w:t>
      </w:r>
      <w:r w:rsidR="00D41E65">
        <w:rPr>
          <w:rFonts w:ascii="AdvP92DE" w:hAnsi="AdvP92DE" w:hint="cs"/>
          <w:sz w:val="24"/>
          <w:szCs w:val="24"/>
          <w:rtl/>
        </w:rPr>
        <w:t xml:space="preserve">פחד; התנהגות פזיזה, מסכנת </w:t>
      </w:r>
      <w:r w:rsidR="00D41E65">
        <w:rPr>
          <w:rFonts w:ascii="AdvP92DE" w:hAnsi="AdvP92DE" w:hint="cs"/>
          <w:sz w:val="24"/>
          <w:szCs w:val="24"/>
          <w:rtl/>
        </w:rPr>
        <w:lastRenderedPageBreak/>
        <w:t>ונ</w:t>
      </w:r>
      <w:r>
        <w:rPr>
          <w:rFonts w:ascii="AdvP92DE" w:hAnsi="AdvP92DE" w:hint="cs"/>
          <w:sz w:val="24"/>
          <w:szCs w:val="24"/>
          <w:rtl/>
        </w:rPr>
        <w:t>וטה לתאונות; תוקפנות; הורות מענ</w:t>
      </w:r>
      <w:r w:rsidR="00D41E65">
        <w:rPr>
          <w:rFonts w:ascii="AdvP92DE" w:hAnsi="AdvP92DE" w:hint="cs"/>
          <w:sz w:val="24"/>
          <w:szCs w:val="24"/>
          <w:rtl/>
        </w:rPr>
        <w:t xml:space="preserve">ישה וביקורתית; יחסים עם מבצע האלימות </w:t>
      </w:r>
      <w:r>
        <w:rPr>
          <w:rFonts w:ascii="AdvP92DE" w:hAnsi="AdvP92DE" w:hint="cs"/>
          <w:sz w:val="24"/>
          <w:szCs w:val="24"/>
          <w:rtl/>
        </w:rPr>
        <w:t>או אב נעדר; בעיות פרידה הקשורות לסיום הטיפול. הילד והאם עובדים בפגישות משותפות ו</w:t>
      </w:r>
      <w:r w:rsidR="00D41E65">
        <w:rPr>
          <w:rFonts w:ascii="AdvP92DE" w:hAnsi="AdvP92DE" w:hint="cs"/>
          <w:sz w:val="24"/>
          <w:szCs w:val="24"/>
          <w:rtl/>
        </w:rPr>
        <w:t xml:space="preserve">פגישות </w:t>
      </w:r>
      <w:r>
        <w:rPr>
          <w:rFonts w:ascii="AdvP92DE" w:hAnsi="AdvP92DE" w:hint="cs"/>
          <w:sz w:val="24"/>
          <w:szCs w:val="24"/>
          <w:rtl/>
        </w:rPr>
        <w:t xml:space="preserve">עם האם בלבד </w:t>
      </w:r>
      <w:r w:rsidR="00D41E65">
        <w:rPr>
          <w:rFonts w:ascii="AdvP92DE" w:hAnsi="AdvP92DE" w:hint="cs"/>
          <w:sz w:val="24"/>
          <w:szCs w:val="24"/>
          <w:rtl/>
        </w:rPr>
        <w:t xml:space="preserve">ניתנות </w:t>
      </w:r>
      <w:r>
        <w:rPr>
          <w:rFonts w:ascii="AdvP92DE" w:hAnsi="AdvP92DE" w:hint="cs"/>
          <w:sz w:val="24"/>
          <w:szCs w:val="24"/>
          <w:rtl/>
        </w:rPr>
        <w:t>לפי הצורך. ההת</w:t>
      </w:r>
      <w:r w:rsidR="00D41E65">
        <w:rPr>
          <w:rFonts w:ascii="AdvP92DE" w:hAnsi="AdvP92DE" w:hint="cs"/>
          <w:sz w:val="24"/>
          <w:szCs w:val="24"/>
          <w:rtl/>
        </w:rPr>
        <w:t>ערבויות מתמקדות בקידום ויסות הר</w:t>
      </w:r>
      <w:r>
        <w:rPr>
          <w:rFonts w:ascii="AdvP92DE" w:hAnsi="AdvP92DE" w:hint="cs"/>
          <w:sz w:val="24"/>
          <w:szCs w:val="24"/>
          <w:rtl/>
        </w:rPr>
        <w:t xml:space="preserve">גש בילד ובהורה; </w:t>
      </w:r>
      <w:r w:rsidR="003F55C9">
        <w:rPr>
          <w:rFonts w:ascii="AdvP92DE" w:hAnsi="AdvP92DE" w:hint="cs"/>
          <w:sz w:val="24"/>
          <w:szCs w:val="24"/>
          <w:rtl/>
        </w:rPr>
        <w:t xml:space="preserve">שינוי </w:t>
      </w:r>
      <w:r>
        <w:rPr>
          <w:rFonts w:ascii="AdvP92DE" w:hAnsi="AdvP92DE" w:hint="cs"/>
          <w:sz w:val="24"/>
          <w:szCs w:val="24"/>
          <w:rtl/>
        </w:rPr>
        <w:t xml:space="preserve">התנהגויות </w:t>
      </w:r>
      <w:r w:rsidR="003F55C9">
        <w:rPr>
          <w:rFonts w:ascii="AdvP92DE" w:hAnsi="AdvP92DE" w:hint="cs"/>
          <w:sz w:val="24"/>
          <w:szCs w:val="24"/>
          <w:rtl/>
        </w:rPr>
        <w:t>לא סתגלניות בילד, באם ובאינטראקציה שלהם; תמיכה ועידוד אינטראקציות</w:t>
      </w:r>
      <w:r w:rsidR="00D41E65">
        <w:rPr>
          <w:rFonts w:ascii="AdvP92DE" w:hAnsi="AdvP92DE" w:hint="cs"/>
          <w:sz w:val="24"/>
          <w:szCs w:val="24"/>
          <w:rtl/>
        </w:rPr>
        <w:t xml:space="preserve"> ופ</w:t>
      </w:r>
      <w:r w:rsidR="003F55C9">
        <w:rPr>
          <w:rFonts w:ascii="AdvP92DE" w:hAnsi="AdvP92DE" w:hint="cs"/>
          <w:sz w:val="24"/>
          <w:szCs w:val="24"/>
          <w:rtl/>
        </w:rPr>
        <w:t>עילויות הולמות התפתחותית; והדרכת האם והילד ביצירת נרטיב טראומה משותף שכולל מציאת דרך לפתרון סכסוכים והחזרת התקווה והאמון ביחסיהם.</w:t>
      </w:r>
    </w:p>
    <w:p w:rsidR="003F55C9" w:rsidRDefault="003F55C9" w:rsidP="00D41E65">
      <w:pPr>
        <w:autoSpaceDE w:val="0"/>
        <w:autoSpaceDN w:val="0"/>
        <w:adjustRightInd w:val="0"/>
        <w:spacing w:after="0" w:line="360" w:lineRule="auto"/>
        <w:rPr>
          <w:rFonts w:ascii="AdvP92DE" w:hAnsi="AdvP92DE"/>
          <w:sz w:val="24"/>
          <w:szCs w:val="24"/>
          <w:rtl/>
        </w:rPr>
      </w:pPr>
      <w:r>
        <w:rPr>
          <w:rFonts w:ascii="AdvP92DE" w:hAnsi="AdvP92DE" w:hint="cs"/>
          <w:sz w:val="24"/>
          <w:szCs w:val="24"/>
          <w:rtl/>
        </w:rPr>
        <w:t xml:space="preserve">ממצאי מחקרים קודמים על </w:t>
      </w:r>
      <w:r>
        <w:rPr>
          <w:rFonts w:ascii="AdvP92DE" w:hAnsi="AdvP92DE" w:hint="cs"/>
          <w:sz w:val="24"/>
          <w:szCs w:val="24"/>
        </w:rPr>
        <w:t>CPP</w:t>
      </w:r>
      <w:r>
        <w:rPr>
          <w:rFonts w:ascii="AdvP92DE" w:hAnsi="AdvP92DE" w:hint="cs"/>
          <w:sz w:val="24"/>
          <w:szCs w:val="24"/>
          <w:rtl/>
        </w:rPr>
        <w:t xml:space="preserve"> תומכים בערך של יחסי אם ילד כמנגנון שינוי ב</w:t>
      </w:r>
      <w:r w:rsidR="00D41E65">
        <w:rPr>
          <w:rFonts w:ascii="AdvP92DE" w:hAnsi="AdvP92DE" w:hint="cs"/>
          <w:sz w:val="24"/>
          <w:szCs w:val="24"/>
          <w:rtl/>
        </w:rPr>
        <w:t>צמצום</w:t>
      </w:r>
      <w:r>
        <w:rPr>
          <w:rFonts w:ascii="AdvP92DE" w:hAnsi="AdvP92DE" w:hint="cs"/>
          <w:sz w:val="24"/>
          <w:szCs w:val="24"/>
          <w:rtl/>
        </w:rPr>
        <w:t xml:space="preserve"> ההשפעה השלילית של מספר גורמי סיכון שמשפיעים על תפקוד הילד, לרב</w:t>
      </w:r>
      <w:r w:rsidR="00D41E65">
        <w:rPr>
          <w:rFonts w:ascii="AdvP92DE" w:hAnsi="AdvP92DE" w:hint="cs"/>
          <w:sz w:val="24"/>
          <w:szCs w:val="24"/>
          <w:rtl/>
        </w:rPr>
        <w:t xml:space="preserve">ות התקשרות </w:t>
      </w:r>
      <w:proofErr w:type="spellStart"/>
      <w:r w:rsidR="00D41E65">
        <w:rPr>
          <w:rFonts w:ascii="AdvP92DE" w:hAnsi="AdvP92DE" w:hint="cs"/>
          <w:sz w:val="24"/>
          <w:szCs w:val="24"/>
          <w:rtl/>
        </w:rPr>
        <w:t>חרדתית</w:t>
      </w:r>
      <w:proofErr w:type="spellEnd"/>
      <w:r w:rsidR="00D41E65">
        <w:rPr>
          <w:rFonts w:ascii="AdvP92DE" w:hAnsi="AdvP92DE" w:hint="cs"/>
          <w:sz w:val="24"/>
          <w:szCs w:val="24"/>
          <w:rtl/>
        </w:rPr>
        <w:t>,  בקרב ב</w:t>
      </w:r>
      <w:r>
        <w:rPr>
          <w:rFonts w:ascii="AdvP92DE" w:hAnsi="AdvP92DE" w:hint="cs"/>
          <w:sz w:val="24"/>
          <w:szCs w:val="24"/>
          <w:rtl/>
        </w:rPr>
        <w:t>ני שנה, פעוטות ואמהות ד</w:t>
      </w:r>
      <w:r w:rsidR="00D41E65">
        <w:rPr>
          <w:rFonts w:ascii="AdvP92DE" w:hAnsi="AdvP92DE" w:hint="cs"/>
          <w:sz w:val="24"/>
          <w:szCs w:val="24"/>
          <w:rtl/>
        </w:rPr>
        <w:t>י</w:t>
      </w:r>
      <w:r>
        <w:rPr>
          <w:rFonts w:ascii="AdvP92DE" w:hAnsi="AdvP92DE" w:hint="cs"/>
          <w:sz w:val="24"/>
          <w:szCs w:val="24"/>
          <w:rtl/>
        </w:rPr>
        <w:t xml:space="preserve">כאוניות, ילדי גן מוזנחים/לאחר התעללות,   </w:t>
      </w:r>
      <w:r w:rsidR="00D41E65">
        <w:rPr>
          <w:rFonts w:ascii="AdvP92DE" w:hAnsi="AdvP92DE" w:hint="cs"/>
          <w:sz w:val="24"/>
          <w:szCs w:val="24"/>
          <w:rtl/>
        </w:rPr>
        <w:t>וילדי ג</w:t>
      </w:r>
      <w:r>
        <w:rPr>
          <w:rFonts w:ascii="AdvP92DE" w:hAnsi="AdvP92DE" w:hint="cs"/>
          <w:sz w:val="24"/>
          <w:szCs w:val="24"/>
          <w:rtl/>
        </w:rPr>
        <w:t xml:space="preserve">ן שנחשפו לאלימות בין ההורים. הבסיס האמפירי הוביל לסיווג של </w:t>
      </w:r>
      <w:r>
        <w:rPr>
          <w:rFonts w:ascii="AdvP92DE" w:hAnsi="AdvP92DE" w:hint="cs"/>
          <w:sz w:val="24"/>
          <w:szCs w:val="24"/>
        </w:rPr>
        <w:t>CPP</w:t>
      </w:r>
      <w:r>
        <w:rPr>
          <w:rFonts w:ascii="AdvP92DE" w:hAnsi="AdvP92DE" w:hint="cs"/>
          <w:sz w:val="24"/>
          <w:szCs w:val="24"/>
          <w:rtl/>
        </w:rPr>
        <w:t xml:space="preserve"> כטיפול מבוסס היטב ויעיל ברשת </w:t>
      </w:r>
      <w:proofErr w:type="spellStart"/>
      <w:r>
        <w:rPr>
          <w:rFonts w:ascii="AdvP92DE" w:hAnsi="AdvP92DE" w:hint="cs"/>
          <w:sz w:val="24"/>
          <w:szCs w:val="24"/>
          <w:rtl/>
        </w:rPr>
        <w:t>הפרקטיקות</w:t>
      </w:r>
      <w:proofErr w:type="spellEnd"/>
      <w:r>
        <w:rPr>
          <w:rFonts w:ascii="AdvP92DE" w:hAnsi="AdvP92DE" w:hint="cs"/>
          <w:sz w:val="24"/>
          <w:szCs w:val="24"/>
          <w:rtl/>
        </w:rPr>
        <w:t xml:space="preserve"> של ה-</w:t>
      </w:r>
      <w:r>
        <w:rPr>
          <w:rFonts w:ascii="AdvP92DE" w:hAnsi="AdvP92DE" w:hint="cs"/>
          <w:sz w:val="24"/>
          <w:szCs w:val="24"/>
        </w:rPr>
        <w:t>NCTSN</w:t>
      </w:r>
      <w:r>
        <w:rPr>
          <w:rFonts w:ascii="AdvP92DE" w:hAnsi="AdvP92DE" w:hint="cs"/>
          <w:sz w:val="24"/>
          <w:szCs w:val="24"/>
          <w:rtl/>
        </w:rPr>
        <w:t xml:space="preserve"> (רשת הלחצים הטראומתיים של הילד הלאומית). הוכחת </w:t>
      </w:r>
      <w:r w:rsidR="00D41E65">
        <w:rPr>
          <w:rFonts w:ascii="AdvP92DE" w:hAnsi="AdvP92DE" w:hint="cs"/>
          <w:sz w:val="24"/>
          <w:szCs w:val="24"/>
          <w:rtl/>
        </w:rPr>
        <w:t>התמדת</w:t>
      </w:r>
      <w:r>
        <w:rPr>
          <w:rFonts w:ascii="AdvP92DE" w:hAnsi="AdvP92DE" w:hint="cs"/>
          <w:sz w:val="24"/>
          <w:szCs w:val="24"/>
          <w:rtl/>
        </w:rPr>
        <w:t xml:space="preserve"> </w:t>
      </w:r>
      <w:r w:rsidR="00D41E65">
        <w:rPr>
          <w:rFonts w:ascii="AdvP92DE" w:hAnsi="AdvP92DE" w:hint="cs"/>
          <w:sz w:val="24"/>
          <w:szCs w:val="24"/>
          <w:rtl/>
        </w:rPr>
        <w:t>ההשפעה</w:t>
      </w:r>
      <w:r>
        <w:rPr>
          <w:rFonts w:ascii="AdvP92DE" w:hAnsi="AdvP92DE" w:hint="cs"/>
          <w:sz w:val="24"/>
          <w:szCs w:val="24"/>
          <w:rtl/>
        </w:rPr>
        <w:t xml:space="preserve"> של ה-</w:t>
      </w:r>
      <w:r>
        <w:rPr>
          <w:rFonts w:ascii="AdvP92DE" w:hAnsi="AdvP92DE" w:hint="cs"/>
          <w:sz w:val="24"/>
          <w:szCs w:val="24"/>
        </w:rPr>
        <w:t>CPP</w:t>
      </w:r>
      <w:r>
        <w:rPr>
          <w:rFonts w:ascii="AdvP92DE" w:hAnsi="AdvP92DE" w:hint="cs"/>
          <w:sz w:val="24"/>
          <w:szCs w:val="24"/>
          <w:rtl/>
        </w:rPr>
        <w:t xml:space="preserve"> במעקב חשובה לשם חיזוק בסיס הראיות של הגישה וכדי לעודד קלינאים להכליל בשיטתיות מיקוד ביחסי אם-ילד בעת הטיפול בהפרעות בריאות נפשית בינקות ובגיל הרך. במחקר הנוכ</w:t>
      </w:r>
      <w:r w:rsidR="00D41E65">
        <w:rPr>
          <w:rFonts w:ascii="AdvP92DE" w:hAnsi="AdvP92DE" w:hint="cs"/>
          <w:sz w:val="24"/>
          <w:szCs w:val="24"/>
          <w:rtl/>
        </w:rPr>
        <w:t>חי הנחנו שהרווחים הקשו</w:t>
      </w:r>
      <w:r>
        <w:rPr>
          <w:rFonts w:ascii="AdvP92DE" w:hAnsi="AdvP92DE" w:hint="cs"/>
          <w:sz w:val="24"/>
          <w:szCs w:val="24"/>
          <w:rtl/>
        </w:rPr>
        <w:t>ר</w:t>
      </w:r>
      <w:r w:rsidR="00D41E65">
        <w:rPr>
          <w:rFonts w:ascii="AdvP92DE" w:hAnsi="AdvP92DE" w:hint="cs"/>
          <w:sz w:val="24"/>
          <w:szCs w:val="24"/>
          <w:rtl/>
        </w:rPr>
        <w:t>י</w:t>
      </w:r>
      <w:r>
        <w:rPr>
          <w:rFonts w:ascii="AdvP92DE" w:hAnsi="AdvP92DE" w:hint="cs"/>
          <w:sz w:val="24"/>
          <w:szCs w:val="24"/>
          <w:rtl/>
        </w:rPr>
        <w:t xml:space="preserve">ם לטיפולי </w:t>
      </w:r>
      <w:r>
        <w:rPr>
          <w:rFonts w:ascii="AdvP92DE" w:hAnsi="AdvP92DE" w:hint="cs"/>
          <w:sz w:val="24"/>
          <w:szCs w:val="24"/>
        </w:rPr>
        <w:t>CPP</w:t>
      </w:r>
      <w:r>
        <w:rPr>
          <w:rFonts w:ascii="AdvP92DE" w:hAnsi="AdvP92DE" w:hint="cs"/>
          <w:sz w:val="24"/>
          <w:szCs w:val="24"/>
          <w:rtl/>
        </w:rPr>
        <w:t xml:space="preserve"> ישמרו עבור האם והילד ויובילו להמשך השפעות משמעותי שיימצא בסיום הטיפול.</w:t>
      </w:r>
    </w:p>
    <w:p w:rsidR="003F55C9" w:rsidRPr="00D41E65" w:rsidRDefault="003F55C9" w:rsidP="00D41E65">
      <w:pPr>
        <w:autoSpaceDE w:val="0"/>
        <w:autoSpaceDN w:val="0"/>
        <w:adjustRightInd w:val="0"/>
        <w:spacing w:after="0" w:line="360" w:lineRule="auto"/>
        <w:jc w:val="center"/>
        <w:rPr>
          <w:rFonts w:ascii="AdvP92DE" w:hAnsi="AdvP92DE"/>
          <w:b/>
          <w:bCs/>
          <w:sz w:val="24"/>
          <w:szCs w:val="24"/>
          <w:rtl/>
        </w:rPr>
      </w:pPr>
      <w:r w:rsidRPr="00D41E65">
        <w:rPr>
          <w:rFonts w:ascii="AdvP92DE" w:hAnsi="AdvP92DE" w:hint="cs"/>
          <w:b/>
          <w:bCs/>
          <w:sz w:val="24"/>
          <w:szCs w:val="24"/>
          <w:rtl/>
        </w:rPr>
        <w:t>שיטה</w:t>
      </w:r>
    </w:p>
    <w:p w:rsidR="003F55C9" w:rsidRDefault="003F55C9" w:rsidP="006B49C0">
      <w:pPr>
        <w:autoSpaceDE w:val="0"/>
        <w:autoSpaceDN w:val="0"/>
        <w:adjustRightInd w:val="0"/>
        <w:spacing w:after="0" w:line="360" w:lineRule="auto"/>
        <w:rPr>
          <w:rFonts w:ascii="AdvP92DE" w:hAnsi="AdvP92DE"/>
          <w:sz w:val="24"/>
          <w:szCs w:val="24"/>
          <w:rtl/>
        </w:rPr>
      </w:pPr>
      <w:r w:rsidRPr="00D41E65">
        <w:rPr>
          <w:rFonts w:ascii="AdvP92DE" w:hAnsi="AdvP92DE" w:hint="cs"/>
          <w:sz w:val="24"/>
          <w:szCs w:val="24"/>
          <w:u w:val="single"/>
          <w:rtl/>
        </w:rPr>
        <w:t>משתתפים</w:t>
      </w:r>
      <w:r>
        <w:rPr>
          <w:rFonts w:ascii="AdvP92DE" w:hAnsi="AdvP92DE" w:hint="cs"/>
          <w:sz w:val="24"/>
          <w:szCs w:val="24"/>
          <w:rtl/>
        </w:rPr>
        <w:t>:- 39 בנות ו-36 בנים בני 3-5 (גיל ממוצע 4) ואמותיהן. דיאדות אם-ילד זומנו משום שהיו חששות קליניים לגבי התנהגות הילד או הורות האם לאחר שהילד היה עד</w:t>
      </w:r>
      <w:r w:rsidR="00F144E0">
        <w:rPr>
          <w:rFonts w:ascii="AdvP92DE" w:hAnsi="AdvP92DE" w:hint="cs"/>
          <w:sz w:val="24"/>
          <w:szCs w:val="24"/>
          <w:rtl/>
        </w:rPr>
        <w:t xml:space="preserve"> (שמיעה או ראיה) לאלימות זוגית. דיאדות גויסו למחקר לפי גילו של הילד וחשיפתו לאלימות בין ההורים על פי אישור האם ב</w:t>
      </w:r>
      <w:r w:rsidR="00F144E0" w:rsidRPr="006B49C0">
        <w:rPr>
          <w:rFonts w:ascii="AdvP92DE" w:hAnsi="AdvP92DE" w:hint="cs"/>
          <w:i/>
          <w:iCs/>
          <w:sz w:val="24"/>
          <w:szCs w:val="24"/>
          <w:rtl/>
        </w:rPr>
        <w:t xml:space="preserve">סולם 2 של טקטיקות סכסוך </w:t>
      </w:r>
      <w:r w:rsidR="00F144E0">
        <w:rPr>
          <w:rFonts w:ascii="AdvP92DE" w:hAnsi="AdvP92DE" w:hint="cs"/>
          <w:sz w:val="24"/>
          <w:szCs w:val="24"/>
          <w:rtl/>
        </w:rPr>
        <w:t>(</w:t>
      </w:r>
      <w:r w:rsidR="00F144E0">
        <w:rPr>
          <w:rFonts w:ascii="AdvP92DE" w:hAnsi="AdvP92DE"/>
          <w:sz w:val="24"/>
          <w:szCs w:val="24"/>
        </w:rPr>
        <w:t xml:space="preserve">Straus et al., </w:t>
      </w:r>
      <w:proofErr w:type="gramStart"/>
      <w:r w:rsidR="00F144E0">
        <w:rPr>
          <w:rFonts w:ascii="AdvP92DE" w:hAnsi="AdvP92DE"/>
          <w:sz w:val="24"/>
          <w:szCs w:val="24"/>
        </w:rPr>
        <w:t>1996</w:t>
      </w:r>
      <w:r w:rsidR="00F144E0">
        <w:rPr>
          <w:rFonts w:ascii="AdvP92DE" w:hAnsi="AdvP92DE" w:hint="cs"/>
          <w:sz w:val="24"/>
          <w:szCs w:val="24"/>
          <w:rtl/>
        </w:rPr>
        <w:t>) ואם ה</w:t>
      </w:r>
      <w:r w:rsidR="00850940">
        <w:rPr>
          <w:rFonts w:ascii="AdvP92DE" w:hAnsi="AdvP92DE" w:hint="cs"/>
          <w:sz w:val="24"/>
          <w:szCs w:val="24"/>
          <w:rtl/>
        </w:rPr>
        <w:t>תוקף</w:t>
      </w:r>
      <w:r w:rsidR="00F144E0">
        <w:rPr>
          <w:rFonts w:ascii="AdvP92DE" w:hAnsi="AdvP92DE" w:hint="cs"/>
          <w:sz w:val="24"/>
          <w:szCs w:val="24"/>
          <w:rtl/>
        </w:rPr>
        <w:t xml:space="preserve"> לא חי בבית.</w:t>
      </w:r>
      <w:proofErr w:type="gramEnd"/>
      <w:r w:rsidR="00F144E0">
        <w:rPr>
          <w:rFonts w:ascii="AdvP92DE" w:hAnsi="AdvP92DE" w:hint="cs"/>
          <w:sz w:val="24"/>
          <w:szCs w:val="24"/>
          <w:rtl/>
        </w:rPr>
        <w:t xml:space="preserve"> קריטריון לאי הכללה עבור האמהות היו </w:t>
      </w:r>
      <w:r w:rsidR="006B49C0">
        <w:rPr>
          <w:rFonts w:ascii="AdvP92DE" w:hAnsi="AdvP92DE" w:hint="cs"/>
          <w:sz w:val="24"/>
          <w:szCs w:val="24"/>
          <w:rtl/>
        </w:rPr>
        <w:t>תיעוד</w:t>
      </w:r>
      <w:r w:rsidR="00F144E0">
        <w:rPr>
          <w:rFonts w:ascii="AdvP92DE" w:hAnsi="AdvP92DE" w:hint="cs"/>
          <w:sz w:val="24"/>
          <w:szCs w:val="24"/>
          <w:rtl/>
        </w:rPr>
        <w:t xml:space="preserve"> של הת</w:t>
      </w:r>
      <w:r w:rsidR="00850940">
        <w:rPr>
          <w:rFonts w:ascii="AdvP92DE" w:hAnsi="AdvP92DE" w:hint="cs"/>
          <w:sz w:val="24"/>
          <w:szCs w:val="24"/>
          <w:rtl/>
        </w:rPr>
        <w:t>עללות גופנית או מינית בילד, התמ</w:t>
      </w:r>
      <w:r w:rsidR="00F144E0">
        <w:rPr>
          <w:rFonts w:ascii="AdvP92DE" w:hAnsi="AdvP92DE" w:hint="cs"/>
          <w:sz w:val="24"/>
          <w:szCs w:val="24"/>
          <w:rtl/>
        </w:rPr>
        <w:t xml:space="preserve">כרות </w:t>
      </w:r>
      <w:r w:rsidR="006B49C0">
        <w:rPr>
          <w:rFonts w:ascii="AdvP92DE" w:hAnsi="AdvP92DE" w:hint="cs"/>
          <w:sz w:val="24"/>
          <w:szCs w:val="24"/>
          <w:rtl/>
        </w:rPr>
        <w:t>בהווה</w:t>
      </w:r>
      <w:r w:rsidR="00F144E0">
        <w:rPr>
          <w:rFonts w:ascii="AdvP92DE" w:hAnsi="AdvP92DE" w:hint="cs"/>
          <w:sz w:val="24"/>
          <w:szCs w:val="24"/>
          <w:rtl/>
        </w:rPr>
        <w:t>, חסרות בית, פיגור שכלי ופסיכוזות. גם ילדים עם פיגור שכלי או הפרעות אוטיסטיות לא נכללו. המשתתפים היו מגוונים אתנית.</w:t>
      </w:r>
    </w:p>
    <w:p w:rsidR="00DA4400" w:rsidRDefault="00DA4400" w:rsidP="00D41E65">
      <w:pPr>
        <w:autoSpaceDE w:val="0"/>
        <w:autoSpaceDN w:val="0"/>
        <w:adjustRightInd w:val="0"/>
        <w:spacing w:after="0" w:line="360" w:lineRule="auto"/>
        <w:rPr>
          <w:rFonts w:ascii="AdvP92DE" w:hAnsi="AdvP92DE"/>
          <w:sz w:val="24"/>
          <w:szCs w:val="24"/>
          <w:rtl/>
        </w:rPr>
      </w:pPr>
      <w:r>
        <w:rPr>
          <w:rFonts w:ascii="AdvP92DE" w:hAnsi="AdvP92DE" w:hint="cs"/>
          <w:sz w:val="24"/>
          <w:szCs w:val="24"/>
          <w:rtl/>
        </w:rPr>
        <w:t>מתוך</w:t>
      </w:r>
      <w:r w:rsidR="006B49C0">
        <w:rPr>
          <w:rFonts w:ascii="AdvP92DE" w:hAnsi="AdvP92DE" w:hint="cs"/>
          <w:sz w:val="24"/>
          <w:szCs w:val="24"/>
          <w:rtl/>
        </w:rPr>
        <w:t xml:space="preserve"> </w:t>
      </w:r>
      <w:r>
        <w:rPr>
          <w:rFonts w:ascii="AdvP92DE" w:hAnsi="AdvP92DE" w:hint="cs"/>
          <w:sz w:val="24"/>
          <w:szCs w:val="24"/>
          <w:rtl/>
        </w:rPr>
        <w:t xml:space="preserve">65 דיאדות 5.6% מקבוצת הטיפול ו 13.8% מקבוצת הביקורת לא היו זמינים בתקופת המעקב. לא נמצאו הבדלים מובהקים בשיעורי המעקב אחר קבוצת הטיפול והביקורת. 9 </w:t>
      </w:r>
      <w:r w:rsidR="006B49C0">
        <w:rPr>
          <w:rFonts w:ascii="AdvP92DE" w:hAnsi="AdvP92DE" w:hint="cs"/>
          <w:sz w:val="24"/>
          <w:szCs w:val="24"/>
          <w:rtl/>
        </w:rPr>
        <w:t>ה</w:t>
      </w:r>
      <w:r>
        <w:rPr>
          <w:rFonts w:ascii="AdvP92DE" w:hAnsi="AdvP92DE" w:hint="cs"/>
          <w:sz w:val="24"/>
          <w:szCs w:val="24"/>
          <w:rtl/>
        </w:rPr>
        <w:t>דיאדות הנוספות לא נכללו במעקב מסיבות שונות. לפיכך מדגם המעקב הסופי כלל 22 בנות ו-28 בנים בני 3 עד 6, 27</w:t>
      </w:r>
      <w:r w:rsidR="006B49C0">
        <w:rPr>
          <w:rFonts w:ascii="AdvP92DE" w:hAnsi="AdvP92DE" w:hint="cs"/>
          <w:sz w:val="24"/>
          <w:szCs w:val="24"/>
          <w:rtl/>
        </w:rPr>
        <w:t xml:space="preserve"> </w:t>
      </w:r>
      <w:r>
        <w:rPr>
          <w:rFonts w:ascii="AdvP92DE" w:hAnsi="AdvP92DE" w:hint="cs"/>
          <w:sz w:val="24"/>
          <w:szCs w:val="24"/>
          <w:rtl/>
        </w:rPr>
        <w:t>בקבוצת הטיפול ו-23 בביקורת. 38% היו בעלי אתניות מעורבת, 28% לטיניים, 16% אפרו-אמריקאיים, 12% לבנים, 4% אסיאנים ו-2% אחרים</w:t>
      </w:r>
      <w:r w:rsidR="006B49C0">
        <w:rPr>
          <w:rFonts w:ascii="AdvP92DE" w:hAnsi="AdvP92DE" w:hint="cs"/>
          <w:sz w:val="24"/>
          <w:szCs w:val="24"/>
          <w:rtl/>
        </w:rPr>
        <w:t>. הדיאדות שאבדו בשחיקה לא היו שונות</w:t>
      </w:r>
      <w:r w:rsidR="00DA6FF9">
        <w:rPr>
          <w:rFonts w:ascii="AdvP92DE" w:hAnsi="AdvP92DE" w:hint="cs"/>
          <w:sz w:val="24"/>
          <w:szCs w:val="24"/>
          <w:rtl/>
        </w:rPr>
        <w:t xml:space="preserve"> ממי שסיימו את המעקב על פי משתני תוצאה לאחר 12 חודש</w:t>
      </w:r>
      <w:r w:rsidR="006B49C0">
        <w:rPr>
          <w:rFonts w:ascii="AdvP92DE" w:hAnsi="AdvP92DE" w:hint="cs"/>
          <w:sz w:val="24"/>
          <w:szCs w:val="24"/>
          <w:rtl/>
        </w:rPr>
        <w:t>, אך ה</w:t>
      </w:r>
      <w:r w:rsidR="00DA6FF9">
        <w:rPr>
          <w:rFonts w:ascii="AdvP92DE" w:hAnsi="AdvP92DE" w:hint="cs"/>
          <w:sz w:val="24"/>
          <w:szCs w:val="24"/>
          <w:rtl/>
        </w:rPr>
        <w:t>ילדים</w:t>
      </w:r>
      <w:r w:rsidR="006B49C0">
        <w:rPr>
          <w:rFonts w:ascii="AdvP92DE" w:hAnsi="AdvP92DE" w:hint="cs"/>
          <w:sz w:val="24"/>
          <w:szCs w:val="24"/>
          <w:rtl/>
        </w:rPr>
        <w:t xml:space="preserve"> היו</w:t>
      </w:r>
      <w:r w:rsidR="00DA6FF9">
        <w:rPr>
          <w:rFonts w:ascii="AdvP92DE" w:hAnsi="AdvP92DE" w:hint="cs"/>
          <w:sz w:val="24"/>
          <w:szCs w:val="24"/>
          <w:rtl/>
        </w:rPr>
        <w:t xml:space="preserve"> קטנים יותר. ביחס לדיאדות שהוערכו במעקב, קבוצות הטיפול והביקורת לא היו שונות ביחס למשתני התוצאה, גיל הילד, השכלת האם או ממוצע ההכנסה. נמצאו הבדלים קבוצתיים מובהקים ביחס למגדר הילד, כאשר בקבוצת הטיפול היו 30% בנים בהשוואה ל-61% בקבוצת הביקורת.</w:t>
      </w:r>
    </w:p>
    <w:p w:rsidR="00850940" w:rsidRDefault="00DA6FF9" w:rsidP="006B49C0">
      <w:pPr>
        <w:autoSpaceDE w:val="0"/>
        <w:autoSpaceDN w:val="0"/>
        <w:adjustRightInd w:val="0"/>
        <w:spacing w:after="0" w:line="360" w:lineRule="auto"/>
        <w:rPr>
          <w:rFonts w:ascii="AdvP92DE" w:hAnsi="AdvP92DE"/>
          <w:sz w:val="24"/>
          <w:szCs w:val="24"/>
          <w:rtl/>
        </w:rPr>
      </w:pPr>
      <w:r w:rsidRPr="006B49C0">
        <w:rPr>
          <w:rFonts w:ascii="AdvP92DE" w:hAnsi="AdvP92DE" w:hint="cs"/>
          <w:sz w:val="24"/>
          <w:szCs w:val="24"/>
          <w:u w:val="single"/>
          <w:rtl/>
        </w:rPr>
        <w:lastRenderedPageBreak/>
        <w:t>הליכים</w:t>
      </w:r>
      <w:r>
        <w:rPr>
          <w:rFonts w:ascii="AdvP92DE" w:hAnsi="AdvP92DE" w:hint="cs"/>
          <w:sz w:val="24"/>
          <w:szCs w:val="24"/>
          <w:rtl/>
        </w:rPr>
        <w:t xml:space="preserve">:- </w:t>
      </w:r>
      <w:r w:rsidR="004949FE">
        <w:rPr>
          <w:rFonts w:ascii="AdvP92DE" w:hAnsi="AdvP92DE" w:hint="cs"/>
          <w:sz w:val="24"/>
          <w:szCs w:val="24"/>
          <w:rtl/>
        </w:rPr>
        <w:t>כל המשתתפים במעקב של 6 חודשים היו חלק מתוצאות טיפול מקורי ושויכו אקראית או ל-</w:t>
      </w:r>
      <w:r w:rsidR="004949FE">
        <w:rPr>
          <w:rFonts w:ascii="AdvP92DE" w:hAnsi="AdvP92DE" w:hint="cs"/>
          <w:sz w:val="24"/>
          <w:szCs w:val="24"/>
        </w:rPr>
        <w:t>CPP</w:t>
      </w:r>
      <w:r w:rsidR="004949FE">
        <w:rPr>
          <w:rFonts w:ascii="AdvP92DE" w:hAnsi="AdvP92DE" w:hint="cs"/>
          <w:sz w:val="24"/>
          <w:szCs w:val="24"/>
          <w:rtl/>
        </w:rPr>
        <w:t xml:space="preserve"> או </w:t>
      </w:r>
      <w:r w:rsidR="006B49C0">
        <w:rPr>
          <w:rFonts w:ascii="AdvP92DE" w:hAnsi="AdvP92DE" w:hint="cs"/>
          <w:sz w:val="24"/>
          <w:szCs w:val="24"/>
          <w:rtl/>
        </w:rPr>
        <w:t>לניהול מקרה+</w:t>
      </w:r>
      <w:r w:rsidR="004949FE">
        <w:rPr>
          <w:rFonts w:ascii="AdvP92DE" w:hAnsi="AdvP92DE" w:hint="cs"/>
          <w:sz w:val="24"/>
          <w:szCs w:val="24"/>
          <w:rtl/>
        </w:rPr>
        <w:t>פסיכו</w:t>
      </w:r>
      <w:r w:rsidR="006B49C0">
        <w:rPr>
          <w:rFonts w:ascii="AdvP92DE" w:hAnsi="AdvP92DE" w:hint="cs"/>
          <w:sz w:val="24"/>
          <w:szCs w:val="24"/>
          <w:rtl/>
        </w:rPr>
        <w:t>תרפיה אישית. קבוצת הטיפול השתתפה בממוצע ב-32.09 פג</w:t>
      </w:r>
      <w:r w:rsidR="004949FE">
        <w:rPr>
          <w:rFonts w:ascii="AdvP92DE" w:hAnsi="AdvP92DE" w:hint="cs"/>
          <w:sz w:val="24"/>
          <w:szCs w:val="24"/>
          <w:rtl/>
        </w:rPr>
        <w:t>ישות ואילו בקבוצת הביקורת 73</w:t>
      </w:r>
      <w:r w:rsidR="006B49C0">
        <w:rPr>
          <w:rFonts w:ascii="AdvP92DE" w:hAnsi="AdvP92DE" w:hint="cs"/>
          <w:sz w:val="24"/>
          <w:szCs w:val="24"/>
          <w:rtl/>
        </w:rPr>
        <w:t>% מהאמהות ו-55% מ</w:t>
      </w:r>
      <w:r w:rsidR="004949FE">
        <w:rPr>
          <w:rFonts w:ascii="AdvP92DE" w:hAnsi="AdvP92DE" w:hint="cs"/>
          <w:sz w:val="24"/>
          <w:szCs w:val="24"/>
          <w:rtl/>
        </w:rPr>
        <w:t xml:space="preserve">הילדים קיבלו טיפול אישי ו-45% - פסיכותרפיה אישית נפרדת </w:t>
      </w:r>
      <w:r w:rsidR="006B49C0">
        <w:rPr>
          <w:rFonts w:ascii="AdvP92DE" w:hAnsi="AdvP92DE" w:hint="cs"/>
          <w:sz w:val="24"/>
          <w:szCs w:val="24"/>
          <w:rtl/>
        </w:rPr>
        <w:t>לילד ול</w:t>
      </w:r>
      <w:r w:rsidR="004949FE">
        <w:rPr>
          <w:rFonts w:ascii="AdvP92DE" w:hAnsi="AdvP92DE" w:hint="cs"/>
          <w:sz w:val="24"/>
          <w:szCs w:val="24"/>
          <w:rtl/>
        </w:rPr>
        <w:t>אם. אמהות בקבוצת ה</w:t>
      </w:r>
      <w:r w:rsidR="006B49C0">
        <w:rPr>
          <w:rFonts w:ascii="AdvP92DE" w:hAnsi="AdvP92DE" w:hint="cs"/>
          <w:sz w:val="24"/>
          <w:szCs w:val="24"/>
          <w:rtl/>
        </w:rPr>
        <w:t>ביקורת</w:t>
      </w:r>
      <w:r w:rsidR="004949FE">
        <w:rPr>
          <w:rFonts w:ascii="AdvP92DE" w:hAnsi="AdvP92DE" w:hint="cs"/>
          <w:sz w:val="24"/>
          <w:szCs w:val="24"/>
          <w:rtl/>
        </w:rPr>
        <w:t xml:space="preserve"> דיווחו על טווח של 2 -50 לילדים ו- 6-50 עבורן, כאשר 50% מהאמהות ו-65% קיבלו יותר מ-20 </w:t>
      </w:r>
      <w:r w:rsidR="006B49C0">
        <w:rPr>
          <w:rFonts w:ascii="AdvP92DE" w:hAnsi="AdvP92DE" w:hint="cs"/>
          <w:sz w:val="24"/>
          <w:szCs w:val="24"/>
          <w:rtl/>
        </w:rPr>
        <w:t>פ</w:t>
      </w:r>
      <w:r w:rsidR="004949FE">
        <w:rPr>
          <w:rFonts w:ascii="AdvP92DE" w:hAnsi="AdvP92DE" w:hint="cs"/>
          <w:sz w:val="24"/>
          <w:szCs w:val="24"/>
          <w:rtl/>
        </w:rPr>
        <w:t>גישות אישיות. המשתתפים קיבלו מעקב לאחר סיום הטיפול בשיחות טלפון חודשיות ו-6 חודשים לאחר מכן הוזמנו לקחת חלק בשלב המעקב וקיבלו 50$ על השתתפות.</w:t>
      </w:r>
    </w:p>
    <w:p w:rsidR="00F144E0" w:rsidRDefault="00FF4223" w:rsidP="006B49C0">
      <w:pPr>
        <w:autoSpaceDE w:val="0"/>
        <w:autoSpaceDN w:val="0"/>
        <w:adjustRightInd w:val="0"/>
        <w:spacing w:after="0" w:line="360" w:lineRule="auto"/>
        <w:rPr>
          <w:rFonts w:ascii="AdvP92DE" w:hAnsi="AdvP92DE"/>
          <w:sz w:val="24"/>
          <w:szCs w:val="24"/>
          <w:rtl/>
        </w:rPr>
      </w:pPr>
      <w:r>
        <w:rPr>
          <w:rFonts w:ascii="AdvP92DE" w:hAnsi="AdvP92DE" w:hint="cs"/>
          <w:sz w:val="24"/>
          <w:szCs w:val="24"/>
          <w:rtl/>
        </w:rPr>
        <w:t>מעריכים שונים שימשו בכל נקודת זמן ו</w:t>
      </w:r>
      <w:r w:rsidR="006B49C0">
        <w:rPr>
          <w:rFonts w:ascii="AdvP92DE" w:hAnsi="AdvP92DE" w:hint="cs"/>
          <w:sz w:val="24"/>
          <w:szCs w:val="24"/>
          <w:rtl/>
        </w:rPr>
        <w:t xml:space="preserve">נעשה </w:t>
      </w:r>
      <w:r>
        <w:rPr>
          <w:rFonts w:ascii="AdvP92DE" w:hAnsi="AdvP92DE" w:hint="cs"/>
          <w:sz w:val="24"/>
          <w:szCs w:val="24"/>
          <w:rtl/>
        </w:rPr>
        <w:t xml:space="preserve">כל מאמץ </w:t>
      </w:r>
      <w:r w:rsidR="006B49C0">
        <w:rPr>
          <w:rFonts w:ascii="AdvP92DE" w:hAnsi="AdvP92DE" w:hint="cs"/>
          <w:sz w:val="24"/>
          <w:szCs w:val="24"/>
          <w:rtl/>
        </w:rPr>
        <w:t>אפשרי</w:t>
      </w:r>
      <w:r>
        <w:rPr>
          <w:rFonts w:ascii="AdvP92DE" w:hAnsi="AdvP92DE" w:hint="cs"/>
          <w:sz w:val="24"/>
          <w:szCs w:val="24"/>
          <w:rtl/>
        </w:rPr>
        <w:t xml:space="preserve"> שלא ידעו על השייכות לקבוצה. מדי פעם, התגלה סיווג הקבוצה כאשר האם והילד ציינו אותה. האמהות נפגשו עם בוחנים שעברו הכשרה והשלימו מדדים על </w:t>
      </w:r>
      <w:r w:rsidR="006B49C0">
        <w:rPr>
          <w:rFonts w:ascii="AdvP92DE" w:hAnsi="AdvP92DE" w:hint="cs"/>
          <w:sz w:val="24"/>
          <w:szCs w:val="24"/>
          <w:rtl/>
        </w:rPr>
        <w:t>תס</w:t>
      </w:r>
      <w:r>
        <w:rPr>
          <w:rFonts w:ascii="AdvP92DE" w:hAnsi="AdvP92DE" w:hint="cs"/>
          <w:sz w:val="24"/>
          <w:szCs w:val="24"/>
          <w:rtl/>
        </w:rPr>
        <w:t>מיני ילד ואם לאחר חתימה על הסכמה מדעת ודוברות הספרדית נפגשו עם בוחנים דוברי ספרדית.</w:t>
      </w:r>
    </w:p>
    <w:p w:rsidR="00FF4223" w:rsidRDefault="00FF4223" w:rsidP="006B49C0">
      <w:pPr>
        <w:autoSpaceDE w:val="0"/>
        <w:autoSpaceDN w:val="0"/>
        <w:adjustRightInd w:val="0"/>
        <w:spacing w:after="0" w:line="360" w:lineRule="auto"/>
        <w:rPr>
          <w:rFonts w:ascii="AdvP92DE" w:hAnsi="AdvP92DE"/>
          <w:sz w:val="24"/>
          <w:szCs w:val="24"/>
          <w:rtl/>
        </w:rPr>
      </w:pPr>
      <w:r w:rsidRPr="006B49C0">
        <w:rPr>
          <w:rFonts w:ascii="AdvP92DE" w:hAnsi="AdvP92DE" w:hint="cs"/>
          <w:sz w:val="24"/>
          <w:szCs w:val="24"/>
          <w:u w:val="single"/>
          <w:rtl/>
        </w:rPr>
        <w:t>מדדים</w:t>
      </w:r>
      <w:r>
        <w:rPr>
          <w:rFonts w:ascii="AdvP92DE" w:hAnsi="AdvP92DE" w:hint="cs"/>
          <w:sz w:val="24"/>
          <w:szCs w:val="24"/>
          <w:rtl/>
        </w:rPr>
        <w:t xml:space="preserve">:- </w:t>
      </w:r>
      <w:r w:rsidRPr="006B49C0">
        <w:rPr>
          <w:rFonts w:ascii="AdvP92DE" w:hAnsi="AdvP92DE" w:hint="cs"/>
          <w:i/>
          <w:iCs/>
          <w:sz w:val="24"/>
          <w:szCs w:val="24"/>
          <w:rtl/>
        </w:rPr>
        <w:t>'רשימת התנהגות הילד</w:t>
      </w:r>
      <w:r w:rsidR="00204F89" w:rsidRPr="006B49C0">
        <w:rPr>
          <w:rFonts w:ascii="AdvP92DE" w:hAnsi="AdvP92DE" w:hint="cs"/>
          <w:i/>
          <w:iCs/>
          <w:sz w:val="24"/>
          <w:szCs w:val="24"/>
          <w:rtl/>
        </w:rPr>
        <w:t>'</w:t>
      </w:r>
      <w:r>
        <w:rPr>
          <w:rFonts w:ascii="AdvP92DE" w:hAnsi="AdvP92DE" w:hint="cs"/>
          <w:sz w:val="24"/>
          <w:szCs w:val="24"/>
          <w:rtl/>
        </w:rPr>
        <w:t xml:space="preserve"> (2/3 ו- 4/18). לכלי זה 2 גרסאות מותאמות לגיל והוא מבחין היטב בין ילדים שמופנים לשירותים קליניים לבין ילדים שאינם מופנים אליהם. הכלי תקף </w:t>
      </w:r>
      <w:r w:rsidR="006B49C0">
        <w:rPr>
          <w:rFonts w:ascii="AdvP92DE" w:hAnsi="AdvP92DE" w:hint="cs"/>
          <w:sz w:val="24"/>
          <w:szCs w:val="24"/>
          <w:rtl/>
        </w:rPr>
        <w:t>לשימוש במדגמי חתך השוואתיים ויש לו</w:t>
      </w:r>
      <w:r>
        <w:rPr>
          <w:rFonts w:ascii="AdvP92DE" w:hAnsi="AdvP92DE" w:hint="cs"/>
          <w:sz w:val="24"/>
          <w:szCs w:val="24"/>
          <w:rtl/>
        </w:rPr>
        <w:t xml:space="preserve"> מהימנות טובה, יציבות ותקפות ניבוי. </w:t>
      </w:r>
      <w:r w:rsidR="00204F89">
        <w:rPr>
          <w:rFonts w:ascii="AdvP92DE" w:hAnsi="AdvP92DE" w:hint="cs"/>
          <w:sz w:val="24"/>
          <w:szCs w:val="24"/>
          <w:rtl/>
        </w:rPr>
        <w:t>וכמו בהערכ</w:t>
      </w:r>
      <w:r w:rsidR="006B49C0">
        <w:rPr>
          <w:rFonts w:ascii="AdvP92DE" w:hAnsi="AdvP92DE" w:hint="cs"/>
          <w:sz w:val="24"/>
          <w:szCs w:val="24"/>
          <w:rtl/>
        </w:rPr>
        <w:t>ה הראשונית ובהערכות לאחר הטיפול נבדק</w:t>
      </w:r>
      <w:r w:rsidR="00204F89">
        <w:rPr>
          <w:rFonts w:ascii="AdvP92DE" w:hAnsi="AdvP92DE" w:hint="cs"/>
          <w:sz w:val="24"/>
          <w:szCs w:val="24"/>
          <w:rtl/>
        </w:rPr>
        <w:t xml:space="preserve"> </w:t>
      </w:r>
      <w:r w:rsidR="00204F89" w:rsidRPr="006B49C0">
        <w:rPr>
          <w:rFonts w:ascii="AdvP92DE" w:hAnsi="AdvP92DE" w:hint="cs"/>
          <w:i/>
          <w:iCs/>
          <w:sz w:val="24"/>
          <w:szCs w:val="24"/>
          <w:rtl/>
        </w:rPr>
        <w:t>'סולם בעיות התנהגות טוטאליות'</w:t>
      </w:r>
      <w:r w:rsidR="00204F89">
        <w:rPr>
          <w:rFonts w:ascii="AdvP92DE" w:hAnsi="AdvP92DE" w:hint="cs"/>
          <w:sz w:val="24"/>
          <w:szCs w:val="24"/>
          <w:rtl/>
        </w:rPr>
        <w:t xml:space="preserve"> משום שהוא</w:t>
      </w:r>
      <w:r w:rsidR="006B49C0">
        <w:rPr>
          <w:rFonts w:ascii="AdvP92DE" w:hAnsi="AdvP92DE" w:hint="cs"/>
          <w:sz w:val="24"/>
          <w:szCs w:val="24"/>
          <w:rtl/>
        </w:rPr>
        <w:t xml:space="preserve"> כולל התנהגויות קשורות לחץ שאינן</w:t>
      </w:r>
      <w:r w:rsidR="00204F89">
        <w:rPr>
          <w:rFonts w:ascii="AdvP92DE" w:hAnsi="AdvP92DE" w:hint="cs"/>
          <w:sz w:val="24"/>
          <w:szCs w:val="24"/>
          <w:rtl/>
        </w:rPr>
        <w:t xml:space="preserve"> מיוצגות בסולמות </w:t>
      </w:r>
      <w:r w:rsidR="006B49C0">
        <w:rPr>
          <w:rFonts w:ascii="AdvP92DE" w:hAnsi="AdvP92DE" w:hint="cs"/>
          <w:sz w:val="24"/>
          <w:szCs w:val="24"/>
          <w:rtl/>
        </w:rPr>
        <w:t>ה</w:t>
      </w:r>
      <w:r w:rsidR="00204F89">
        <w:rPr>
          <w:rFonts w:ascii="AdvP92DE" w:hAnsi="AdvP92DE" w:hint="cs"/>
          <w:sz w:val="24"/>
          <w:szCs w:val="24"/>
          <w:rtl/>
        </w:rPr>
        <w:t>הפנמה ו</w:t>
      </w:r>
      <w:r w:rsidR="006B49C0">
        <w:rPr>
          <w:rFonts w:ascii="AdvP92DE" w:hAnsi="AdvP92DE" w:hint="cs"/>
          <w:sz w:val="24"/>
          <w:szCs w:val="24"/>
          <w:rtl/>
        </w:rPr>
        <w:t>ה</w:t>
      </w:r>
      <w:r w:rsidR="00204F89">
        <w:rPr>
          <w:rFonts w:ascii="AdvP92DE" w:hAnsi="AdvP92DE" w:hint="cs"/>
          <w:sz w:val="24"/>
          <w:szCs w:val="24"/>
          <w:rtl/>
        </w:rPr>
        <w:t>החצנה (בהייה בחלל, מריחת הפרשות, סירוב לאכול, מעט מדי פחד או פציעות, הרס החפצים האישיים).</w:t>
      </w:r>
    </w:p>
    <w:p w:rsidR="00204F89" w:rsidRDefault="006B49C0" w:rsidP="00D41E65">
      <w:pPr>
        <w:autoSpaceDE w:val="0"/>
        <w:autoSpaceDN w:val="0"/>
        <w:adjustRightInd w:val="0"/>
        <w:spacing w:after="0" w:line="360" w:lineRule="auto"/>
        <w:rPr>
          <w:rFonts w:ascii="AdvP92DE" w:hAnsi="AdvP92DE"/>
          <w:sz w:val="24"/>
          <w:szCs w:val="24"/>
          <w:rtl/>
        </w:rPr>
      </w:pPr>
      <w:r w:rsidRPr="006B49C0">
        <w:rPr>
          <w:rFonts w:ascii="AdvP92DE" w:hAnsi="AdvP92DE" w:hint="cs"/>
          <w:i/>
          <w:iCs/>
          <w:sz w:val="24"/>
          <w:szCs w:val="24"/>
          <w:rtl/>
        </w:rPr>
        <w:t>רשימת תסמינים</w:t>
      </w:r>
      <w:r w:rsidR="00204F89" w:rsidRPr="006B49C0">
        <w:rPr>
          <w:rFonts w:ascii="AdvP92DE" w:hAnsi="AdvP92DE" w:hint="cs"/>
          <w:i/>
          <w:iCs/>
          <w:sz w:val="24"/>
          <w:szCs w:val="24"/>
          <w:rtl/>
        </w:rPr>
        <w:t xml:space="preserve"> 90-</w:t>
      </w:r>
      <w:r w:rsidR="00204F89" w:rsidRPr="006B49C0">
        <w:rPr>
          <w:rFonts w:ascii="AdvP92DE" w:hAnsi="AdvP92DE" w:hint="cs"/>
          <w:i/>
          <w:iCs/>
          <w:sz w:val="24"/>
          <w:szCs w:val="24"/>
        </w:rPr>
        <w:t>SCL</w:t>
      </w:r>
      <w:r w:rsidR="00204F89" w:rsidRPr="006B49C0">
        <w:rPr>
          <w:rFonts w:ascii="AdvP92DE" w:hAnsi="AdvP92DE" w:hint="cs"/>
          <w:i/>
          <w:iCs/>
          <w:sz w:val="24"/>
          <w:szCs w:val="24"/>
          <w:rtl/>
        </w:rPr>
        <w:t xml:space="preserve"> מתוקנת</w:t>
      </w:r>
      <w:r w:rsidR="00204F89">
        <w:rPr>
          <w:rFonts w:ascii="AdvP92DE" w:hAnsi="AdvP92DE" w:hint="cs"/>
          <w:sz w:val="24"/>
          <w:szCs w:val="24"/>
          <w:rtl/>
        </w:rPr>
        <w:t>. רשימה של 90</w:t>
      </w:r>
      <w:r>
        <w:rPr>
          <w:rFonts w:ascii="AdvP92DE" w:hAnsi="AdvP92DE" w:hint="cs"/>
          <w:sz w:val="24"/>
          <w:szCs w:val="24"/>
          <w:rtl/>
        </w:rPr>
        <w:t xml:space="preserve"> </w:t>
      </w:r>
      <w:r w:rsidR="00204F89">
        <w:rPr>
          <w:rFonts w:ascii="AdvP92DE" w:hAnsi="AdvP92DE" w:hint="cs"/>
          <w:sz w:val="24"/>
          <w:szCs w:val="24"/>
          <w:rtl/>
        </w:rPr>
        <w:t xml:space="preserve">פריטים </w:t>
      </w:r>
      <w:r>
        <w:rPr>
          <w:rFonts w:ascii="AdvP92DE" w:hAnsi="AdvP92DE" w:hint="cs"/>
          <w:sz w:val="24"/>
          <w:szCs w:val="24"/>
          <w:rtl/>
        </w:rPr>
        <w:t>ש</w:t>
      </w:r>
      <w:r w:rsidR="00204F89">
        <w:rPr>
          <w:rFonts w:ascii="AdvP92DE" w:hAnsi="AdvP92DE" w:hint="cs"/>
          <w:sz w:val="24"/>
          <w:szCs w:val="24"/>
          <w:rtl/>
        </w:rPr>
        <w:t>מודדת תסמינים פסיכיאטריים בהווה ומניבה 3 מחווני סיכום ו-9 ממדים עיקריים.</w:t>
      </w:r>
    </w:p>
    <w:p w:rsidR="00204F89" w:rsidRDefault="006B49C0" w:rsidP="00D41E65">
      <w:pPr>
        <w:autoSpaceDE w:val="0"/>
        <w:autoSpaceDN w:val="0"/>
        <w:adjustRightInd w:val="0"/>
        <w:spacing w:after="0" w:line="360" w:lineRule="auto"/>
        <w:rPr>
          <w:rFonts w:ascii="AdvP92DE" w:hAnsi="AdvP92DE"/>
          <w:sz w:val="24"/>
          <w:szCs w:val="24"/>
          <w:rtl/>
        </w:rPr>
      </w:pPr>
      <w:r w:rsidRPr="006B49C0">
        <w:rPr>
          <w:rFonts w:ascii="AdvP92DE" w:hAnsi="AdvP92DE" w:hint="cs"/>
          <w:i/>
          <w:iCs/>
          <w:sz w:val="24"/>
          <w:szCs w:val="24"/>
          <w:rtl/>
        </w:rPr>
        <w:t>'</w:t>
      </w:r>
      <w:r w:rsidR="00204F89" w:rsidRPr="006B49C0">
        <w:rPr>
          <w:rFonts w:ascii="AdvP92DE" w:hAnsi="AdvP92DE" w:hint="cs"/>
          <w:i/>
          <w:iCs/>
          <w:sz w:val="24"/>
          <w:szCs w:val="24"/>
          <w:rtl/>
        </w:rPr>
        <w:t>אינדקס חומרה גלובלית'</w:t>
      </w:r>
      <w:r w:rsidR="00204F89">
        <w:rPr>
          <w:rFonts w:ascii="AdvP92DE" w:hAnsi="AdvP92DE" w:hint="cs"/>
          <w:sz w:val="24"/>
          <w:szCs w:val="24"/>
          <w:rtl/>
        </w:rPr>
        <w:t xml:space="preserve"> שימש משום שהוא נחשב כמחוון היחיד הטוב ביותר של מצוקה בהווה.</w:t>
      </w:r>
    </w:p>
    <w:p w:rsidR="00204F89" w:rsidRDefault="00204F89" w:rsidP="00D41E65">
      <w:pPr>
        <w:autoSpaceDE w:val="0"/>
        <w:autoSpaceDN w:val="0"/>
        <w:adjustRightInd w:val="0"/>
        <w:spacing w:after="0" w:line="360" w:lineRule="auto"/>
        <w:rPr>
          <w:rFonts w:ascii="AdvP92DE" w:hAnsi="AdvP92DE"/>
          <w:sz w:val="24"/>
          <w:szCs w:val="24"/>
          <w:rtl/>
        </w:rPr>
      </w:pPr>
      <w:r w:rsidRPr="006B49C0">
        <w:rPr>
          <w:rFonts w:ascii="AdvP92DE" w:hAnsi="AdvP92DE" w:hint="cs"/>
          <w:sz w:val="24"/>
          <w:szCs w:val="24"/>
          <w:u w:val="single"/>
          <w:rtl/>
        </w:rPr>
        <w:t>טיפול</w:t>
      </w:r>
      <w:r>
        <w:rPr>
          <w:rFonts w:ascii="AdvP92DE" w:hAnsi="AdvP92DE" w:hint="cs"/>
          <w:sz w:val="24"/>
          <w:szCs w:val="24"/>
          <w:rtl/>
        </w:rPr>
        <w:t xml:space="preserve">:- </w:t>
      </w:r>
      <w:r w:rsidRPr="006B49C0">
        <w:rPr>
          <w:rFonts w:ascii="AdvP92DE" w:hAnsi="AdvP92DE" w:hint="cs"/>
          <w:sz w:val="24"/>
          <w:szCs w:val="24"/>
          <w:u w:val="single"/>
        </w:rPr>
        <w:t>CPP</w:t>
      </w:r>
      <w:r w:rsidRPr="006B49C0">
        <w:rPr>
          <w:rFonts w:ascii="AdvP92DE" w:hAnsi="AdvP92DE" w:hint="cs"/>
          <w:sz w:val="24"/>
          <w:szCs w:val="24"/>
          <w:u w:val="single"/>
          <w:rtl/>
        </w:rPr>
        <w:t>.</w:t>
      </w:r>
      <w:r>
        <w:rPr>
          <w:rFonts w:ascii="AdvP92DE" w:hAnsi="AdvP92DE" w:hint="cs"/>
          <w:sz w:val="24"/>
          <w:szCs w:val="24"/>
          <w:rtl/>
        </w:rPr>
        <w:t xml:space="preserve"> </w:t>
      </w:r>
      <w:r w:rsidR="009A71FF">
        <w:rPr>
          <w:rFonts w:ascii="AdvP92DE" w:hAnsi="AdvP92DE" w:hint="cs"/>
          <w:sz w:val="24"/>
          <w:szCs w:val="24"/>
          <w:rtl/>
        </w:rPr>
        <w:t>המשתתפים ש</w:t>
      </w:r>
      <w:r w:rsidR="006B49C0">
        <w:rPr>
          <w:rFonts w:ascii="AdvP92DE" w:hAnsi="AdvP92DE" w:hint="cs"/>
          <w:sz w:val="24"/>
          <w:szCs w:val="24"/>
          <w:rtl/>
        </w:rPr>
        <w:t>ו</w:t>
      </w:r>
      <w:r w:rsidR="009A71FF">
        <w:rPr>
          <w:rFonts w:ascii="AdvP92DE" w:hAnsi="AdvP92DE" w:hint="cs"/>
          <w:sz w:val="24"/>
          <w:szCs w:val="24"/>
          <w:rtl/>
        </w:rPr>
        <w:t xml:space="preserve">יכו לקבוצות באקראי. פגישות </w:t>
      </w:r>
      <w:r w:rsidR="009A71FF">
        <w:rPr>
          <w:rFonts w:ascii="AdvP92DE" w:hAnsi="AdvP92DE" w:hint="cs"/>
          <w:sz w:val="24"/>
          <w:szCs w:val="24"/>
        </w:rPr>
        <w:t>CPP</w:t>
      </w:r>
      <w:r w:rsidR="009A71FF">
        <w:rPr>
          <w:rFonts w:ascii="AdvP92DE" w:hAnsi="AdvP92DE" w:hint="cs"/>
          <w:sz w:val="24"/>
          <w:szCs w:val="24"/>
          <w:rtl/>
        </w:rPr>
        <w:t xml:space="preserve"> של הדיאדות נמשכו 60 ד' במהלך 50 שבועות ע"י קלינאים עם תואר שני ושלישי בפסיכולוגיה קלינית. המעקב אחר מהימנות הטיפול נעשה דרך פיקוח קליני שבועי שכלל סקירת תהליך נרטיבי והתייעצות שבועית מעמיקה במקרים.</w:t>
      </w:r>
    </w:p>
    <w:p w:rsidR="009A71FF" w:rsidRDefault="006B49C0" w:rsidP="006B49C0">
      <w:pPr>
        <w:autoSpaceDE w:val="0"/>
        <w:autoSpaceDN w:val="0"/>
        <w:adjustRightInd w:val="0"/>
        <w:spacing w:after="0" w:line="360" w:lineRule="auto"/>
        <w:rPr>
          <w:rFonts w:ascii="AdvP92DE" w:hAnsi="AdvP92DE"/>
          <w:sz w:val="24"/>
          <w:szCs w:val="24"/>
          <w:rtl/>
        </w:rPr>
      </w:pPr>
      <w:r>
        <w:rPr>
          <w:rFonts w:ascii="AdvP92DE" w:hAnsi="AdvP92DE" w:hint="cs"/>
          <w:sz w:val="24"/>
          <w:szCs w:val="24"/>
          <w:u w:val="single"/>
          <w:rtl/>
        </w:rPr>
        <w:t xml:space="preserve">ניהול </w:t>
      </w:r>
      <w:proofErr w:type="spellStart"/>
      <w:r>
        <w:rPr>
          <w:rFonts w:ascii="AdvP92DE" w:hAnsi="AdvP92DE" w:hint="cs"/>
          <w:sz w:val="24"/>
          <w:szCs w:val="24"/>
          <w:u w:val="single"/>
          <w:rtl/>
        </w:rPr>
        <w:t>מקרה+</w:t>
      </w:r>
      <w:r w:rsidR="009A71FF" w:rsidRPr="006B49C0">
        <w:rPr>
          <w:rFonts w:ascii="AdvP92DE" w:hAnsi="AdvP92DE" w:hint="cs"/>
          <w:sz w:val="24"/>
          <w:szCs w:val="24"/>
          <w:u w:val="single"/>
          <w:rtl/>
        </w:rPr>
        <w:t>פסיכורפיה</w:t>
      </w:r>
      <w:proofErr w:type="spellEnd"/>
      <w:r w:rsidR="009A71FF" w:rsidRPr="006B49C0">
        <w:rPr>
          <w:rFonts w:ascii="AdvP92DE" w:hAnsi="AdvP92DE" w:hint="cs"/>
          <w:sz w:val="24"/>
          <w:szCs w:val="24"/>
          <w:u w:val="single"/>
          <w:rtl/>
        </w:rPr>
        <w:t xml:space="preserve"> אישית</w:t>
      </w:r>
      <w:r w:rsidR="009A71FF">
        <w:rPr>
          <w:rFonts w:ascii="AdvP92DE" w:hAnsi="AdvP92DE" w:hint="cs"/>
          <w:sz w:val="24"/>
          <w:szCs w:val="24"/>
          <w:rtl/>
        </w:rPr>
        <w:t>. לאחר החלוקה האקראית, אמהות קבוצת הביקורת קיבלו משוב הערכה, הוצגו בפני קלינאי</w:t>
      </w:r>
      <w:r>
        <w:rPr>
          <w:rFonts w:ascii="AdvP92DE" w:hAnsi="AdvP92DE" w:hint="cs"/>
          <w:sz w:val="24"/>
          <w:szCs w:val="24"/>
          <w:rtl/>
        </w:rPr>
        <w:t>ת</w:t>
      </w:r>
      <w:r w:rsidR="009A71FF">
        <w:rPr>
          <w:rFonts w:ascii="AdvP92DE" w:hAnsi="AdvP92DE" w:hint="cs"/>
          <w:sz w:val="24"/>
          <w:szCs w:val="24"/>
          <w:rtl/>
        </w:rPr>
        <w:t xml:space="preserve"> עם תואר </w:t>
      </w:r>
      <w:r>
        <w:rPr>
          <w:rFonts w:ascii="AdvP92DE" w:hAnsi="AdvP92DE" w:hint="cs"/>
          <w:sz w:val="24"/>
          <w:szCs w:val="24"/>
          <w:rtl/>
        </w:rPr>
        <w:t>שלישי לשם</w:t>
      </w:r>
      <w:r w:rsidR="009A71FF">
        <w:rPr>
          <w:rFonts w:ascii="AdvP92DE" w:hAnsi="AdvP92DE" w:hint="cs"/>
          <w:sz w:val="24"/>
          <w:szCs w:val="24"/>
          <w:rtl/>
        </w:rPr>
        <w:t xml:space="preserve"> ניהול המקרה, קיבלו מידע על מרפאות בריאות הנפש בקהילה ויצרו קשר עם קל</w:t>
      </w:r>
      <w:r>
        <w:rPr>
          <w:rFonts w:ascii="AdvP92DE" w:hAnsi="AdvP92DE" w:hint="cs"/>
          <w:sz w:val="24"/>
          <w:szCs w:val="24"/>
          <w:rtl/>
        </w:rPr>
        <w:t>ינאים לפי בחירה. הן</w:t>
      </w:r>
      <w:r w:rsidR="009A71FF">
        <w:rPr>
          <w:rFonts w:ascii="AdvP92DE" w:hAnsi="AdvP92DE" w:hint="cs"/>
          <w:sz w:val="24"/>
          <w:szCs w:val="24"/>
          <w:rtl/>
        </w:rPr>
        <w:t xml:space="preserve"> קיבלו לפחות שי</w:t>
      </w:r>
      <w:r>
        <w:rPr>
          <w:rFonts w:ascii="AdvP92DE" w:hAnsi="AdvP92DE" w:hint="cs"/>
          <w:sz w:val="24"/>
          <w:szCs w:val="24"/>
          <w:rtl/>
        </w:rPr>
        <w:t>ח</w:t>
      </w:r>
      <w:r w:rsidR="009A71FF">
        <w:rPr>
          <w:rFonts w:ascii="AdvP92DE" w:hAnsi="AdvP92DE" w:hint="cs"/>
          <w:sz w:val="24"/>
          <w:szCs w:val="24"/>
          <w:rtl/>
        </w:rPr>
        <w:t>ת טלפון אחת לחודש ממנהל</w:t>
      </w:r>
      <w:r>
        <w:rPr>
          <w:rFonts w:ascii="AdvP92DE" w:hAnsi="AdvP92DE" w:hint="cs"/>
          <w:sz w:val="24"/>
          <w:szCs w:val="24"/>
          <w:rtl/>
        </w:rPr>
        <w:t>ת</w:t>
      </w:r>
      <w:r w:rsidR="009A71FF">
        <w:rPr>
          <w:rFonts w:ascii="AdvP92DE" w:hAnsi="AdvP92DE" w:hint="cs"/>
          <w:sz w:val="24"/>
          <w:szCs w:val="24"/>
          <w:rtl/>
        </w:rPr>
        <w:t xml:space="preserve"> המקרה ויכלו ליצור איתה קשר לפי הצורך. המנהלת סייעה בהפניות ובתהליך הראשוני במרפאה לבריאות הנפש, </w:t>
      </w:r>
      <w:r>
        <w:rPr>
          <w:rFonts w:ascii="AdvP92DE" w:hAnsi="AdvP92DE" w:hint="cs"/>
          <w:sz w:val="24"/>
          <w:szCs w:val="24"/>
          <w:rtl/>
        </w:rPr>
        <w:t>ווידאה קבלת</w:t>
      </w:r>
      <w:r w:rsidR="009A71FF">
        <w:rPr>
          <w:rFonts w:ascii="AdvP92DE" w:hAnsi="AdvP92DE" w:hint="cs"/>
          <w:sz w:val="24"/>
          <w:szCs w:val="24"/>
          <w:rtl/>
        </w:rPr>
        <w:t xml:space="preserve"> שירותים נוספים לפי הנדרש,</w:t>
      </w:r>
      <w:r>
        <w:rPr>
          <w:rFonts w:ascii="AdvP92DE" w:hAnsi="AdvP92DE" w:hint="cs"/>
          <w:sz w:val="24"/>
          <w:szCs w:val="24"/>
          <w:rtl/>
        </w:rPr>
        <w:t xml:space="preserve"> התעניינה ב</w:t>
      </w:r>
      <w:r w:rsidR="009A71FF">
        <w:rPr>
          <w:rFonts w:ascii="AdvP92DE" w:hAnsi="AdvP92DE" w:hint="cs"/>
          <w:sz w:val="24"/>
          <w:szCs w:val="24"/>
          <w:rtl/>
        </w:rPr>
        <w:t>ש</w:t>
      </w:r>
      <w:r>
        <w:rPr>
          <w:rFonts w:ascii="AdvP92DE" w:hAnsi="AdvP92DE" w:hint="cs"/>
          <w:sz w:val="24"/>
          <w:szCs w:val="24"/>
          <w:rtl/>
        </w:rPr>
        <w:t>לום הילד והאם, שאלה על שינויים ש</w:t>
      </w:r>
      <w:r w:rsidR="009A71FF">
        <w:rPr>
          <w:rFonts w:ascii="AdvP92DE" w:hAnsi="AdvP92DE" w:hint="cs"/>
          <w:sz w:val="24"/>
          <w:szCs w:val="24"/>
          <w:rtl/>
        </w:rPr>
        <w:t>קרו והתערבה במהלך משבר</w:t>
      </w:r>
      <w:r>
        <w:rPr>
          <w:rFonts w:ascii="AdvP92DE" w:hAnsi="AdvP92DE" w:hint="cs"/>
          <w:sz w:val="24"/>
          <w:szCs w:val="24"/>
          <w:rtl/>
        </w:rPr>
        <w:t>ים</w:t>
      </w:r>
      <w:r w:rsidR="009A71FF">
        <w:rPr>
          <w:rFonts w:ascii="AdvP92DE" w:hAnsi="AdvP92DE" w:hint="cs"/>
          <w:sz w:val="24"/>
          <w:szCs w:val="24"/>
          <w:rtl/>
        </w:rPr>
        <w:t>. שיחות אלה נמשכו כ-30 ד'. פגישות פנים אל פנים נקבעו לפי הצורך הקליני.</w:t>
      </w:r>
    </w:p>
    <w:p w:rsidR="009A71FF" w:rsidRPr="006B49C0" w:rsidRDefault="006B49C0" w:rsidP="006B49C0">
      <w:pPr>
        <w:autoSpaceDE w:val="0"/>
        <w:autoSpaceDN w:val="0"/>
        <w:adjustRightInd w:val="0"/>
        <w:spacing w:after="0" w:line="360" w:lineRule="auto"/>
        <w:jc w:val="center"/>
        <w:rPr>
          <w:rFonts w:ascii="AdvP92DE" w:hAnsi="AdvP92DE"/>
          <w:b/>
          <w:bCs/>
          <w:sz w:val="24"/>
          <w:szCs w:val="24"/>
          <w:rtl/>
        </w:rPr>
      </w:pPr>
      <w:r w:rsidRPr="006B49C0">
        <w:rPr>
          <w:rFonts w:ascii="AdvP92DE" w:hAnsi="AdvP92DE" w:hint="cs"/>
          <w:b/>
          <w:bCs/>
          <w:sz w:val="24"/>
          <w:szCs w:val="24"/>
          <w:rtl/>
        </w:rPr>
        <w:t>ת</w:t>
      </w:r>
      <w:r w:rsidR="009A71FF" w:rsidRPr="006B49C0">
        <w:rPr>
          <w:rFonts w:ascii="AdvP92DE" w:hAnsi="AdvP92DE" w:hint="cs"/>
          <w:b/>
          <w:bCs/>
          <w:sz w:val="24"/>
          <w:szCs w:val="24"/>
          <w:rtl/>
        </w:rPr>
        <w:t>וצאות</w:t>
      </w:r>
    </w:p>
    <w:p w:rsidR="009A71FF" w:rsidRDefault="009A71FF" w:rsidP="006B49C0">
      <w:pPr>
        <w:autoSpaceDE w:val="0"/>
        <w:autoSpaceDN w:val="0"/>
        <w:adjustRightInd w:val="0"/>
        <w:spacing w:after="0" w:line="360" w:lineRule="auto"/>
        <w:rPr>
          <w:rFonts w:ascii="AdvP92DE" w:hAnsi="AdvP92DE"/>
          <w:sz w:val="24"/>
          <w:szCs w:val="24"/>
          <w:rtl/>
        </w:rPr>
      </w:pPr>
      <w:r w:rsidRPr="006B49C0">
        <w:rPr>
          <w:rFonts w:ascii="AdvP92DE" w:hAnsi="AdvP92DE" w:hint="cs"/>
          <w:sz w:val="24"/>
          <w:szCs w:val="24"/>
          <w:u w:val="single"/>
          <w:rtl/>
        </w:rPr>
        <w:lastRenderedPageBreak/>
        <w:t>תוצאות הטיפול</w:t>
      </w:r>
      <w:r>
        <w:rPr>
          <w:rFonts w:ascii="AdvP92DE" w:hAnsi="AdvP92DE" w:hint="cs"/>
          <w:sz w:val="24"/>
          <w:szCs w:val="24"/>
          <w:rtl/>
        </w:rPr>
        <w:t xml:space="preserve">:-  אלה נבדקו באמצעות הליך מדידות-נשנות של </w:t>
      </w:r>
      <w:r w:rsidR="006B49C0">
        <w:rPr>
          <w:rFonts w:ascii="AdvP92DE" w:hAnsi="AdvP92DE" w:hint="cs"/>
          <w:sz w:val="24"/>
          <w:szCs w:val="24"/>
          <w:rtl/>
        </w:rPr>
        <w:t>מודל ל</w:t>
      </w:r>
      <w:r>
        <w:rPr>
          <w:rFonts w:ascii="AdvP92DE" w:hAnsi="AdvP92DE" w:hint="cs"/>
          <w:sz w:val="24"/>
          <w:szCs w:val="24"/>
          <w:rtl/>
        </w:rPr>
        <w:t>יניארי כללי (</w:t>
      </w:r>
      <w:r>
        <w:rPr>
          <w:rFonts w:ascii="AdvP92DE" w:hAnsi="AdvP92DE" w:hint="cs"/>
          <w:sz w:val="24"/>
          <w:szCs w:val="24"/>
        </w:rPr>
        <w:t>GLM</w:t>
      </w:r>
      <w:r>
        <w:rPr>
          <w:rFonts w:ascii="AdvP92DE" w:hAnsi="AdvP92DE" w:hint="cs"/>
          <w:sz w:val="24"/>
          <w:szCs w:val="24"/>
          <w:rtl/>
        </w:rPr>
        <w:t>)</w:t>
      </w:r>
      <w:r w:rsidR="006B49C0">
        <w:rPr>
          <w:rFonts w:ascii="AdvP92DE" w:hAnsi="AdvP92DE" w:hint="cs"/>
          <w:sz w:val="24"/>
          <w:szCs w:val="24"/>
          <w:rtl/>
        </w:rPr>
        <w:t xml:space="preserve"> </w:t>
      </w:r>
      <w:r>
        <w:rPr>
          <w:rFonts w:ascii="AdvP92DE" w:hAnsi="AdvP92DE" w:hint="cs"/>
          <w:sz w:val="24"/>
          <w:szCs w:val="24"/>
          <w:rtl/>
        </w:rPr>
        <w:t>עבור כל משתנה תלוי כאשר</w:t>
      </w:r>
      <w:r w:rsidR="006B49C0">
        <w:rPr>
          <w:rFonts w:ascii="AdvP92DE" w:hAnsi="AdvP92DE" w:hint="cs"/>
          <w:sz w:val="24"/>
          <w:szCs w:val="24"/>
          <w:rtl/>
        </w:rPr>
        <w:t xml:space="preserve"> </w:t>
      </w:r>
      <w:r>
        <w:rPr>
          <w:rFonts w:ascii="AdvP92DE" w:hAnsi="AdvP92DE" w:hint="cs"/>
          <w:sz w:val="24"/>
          <w:szCs w:val="24"/>
          <w:rtl/>
        </w:rPr>
        <w:t xml:space="preserve">הקבוצה היא משתנה בין-נחקרים וזמן הוא משתנה בין-נחקרים (טבלה 1). אינטראקציות משמעותיות בין קבוצה לזמן </w:t>
      </w:r>
      <w:r w:rsidR="006B49C0">
        <w:rPr>
          <w:rFonts w:ascii="AdvP92DE" w:hAnsi="AdvP92DE" w:hint="cs"/>
          <w:sz w:val="24"/>
          <w:szCs w:val="24"/>
          <w:rtl/>
        </w:rPr>
        <w:t>ש</w:t>
      </w:r>
      <w:r>
        <w:rPr>
          <w:rFonts w:ascii="AdvP92DE" w:hAnsi="AdvP92DE" w:hint="cs"/>
          <w:sz w:val="24"/>
          <w:szCs w:val="24"/>
          <w:rtl/>
        </w:rPr>
        <w:t xml:space="preserve">מראות את הנוכחות של השפעות </w:t>
      </w:r>
      <w:r w:rsidR="006B49C0">
        <w:rPr>
          <w:rFonts w:ascii="AdvP92DE" w:hAnsi="AdvP92DE" w:hint="cs"/>
          <w:sz w:val="24"/>
          <w:szCs w:val="24"/>
          <w:rtl/>
        </w:rPr>
        <w:t>הטיפול והמעקב נבדקו</w:t>
      </w:r>
      <w:r>
        <w:rPr>
          <w:rFonts w:ascii="AdvP92DE" w:hAnsi="AdvP92DE" w:hint="cs"/>
          <w:sz w:val="24"/>
          <w:szCs w:val="24"/>
          <w:rtl/>
        </w:rPr>
        <w:t xml:space="preserve"> באמצעות מדגם השלמת טיפול (</w:t>
      </w:r>
      <w:r>
        <w:rPr>
          <w:rFonts w:ascii="AdvP92DE" w:hAnsi="AdvP92DE" w:hint="cs"/>
          <w:sz w:val="24"/>
          <w:szCs w:val="24"/>
        </w:rPr>
        <w:t>TC</w:t>
      </w:r>
      <w:r>
        <w:rPr>
          <w:rFonts w:ascii="AdvP92DE" w:hAnsi="AdvP92DE" w:hint="cs"/>
          <w:sz w:val="24"/>
          <w:szCs w:val="24"/>
          <w:rtl/>
        </w:rPr>
        <w:t>) עם ניתוחי מדידות-נשנות בכל קבוצה כדי לקבוע אם</w:t>
      </w:r>
      <w:r w:rsidR="006B49C0">
        <w:rPr>
          <w:rFonts w:ascii="AdvP92DE" w:hAnsi="AdvP92DE" w:hint="cs"/>
          <w:sz w:val="24"/>
          <w:szCs w:val="24"/>
          <w:rtl/>
        </w:rPr>
        <w:t xml:space="preserve"> התרחש</w:t>
      </w:r>
      <w:r>
        <w:rPr>
          <w:rFonts w:ascii="AdvP92DE" w:hAnsi="AdvP92DE" w:hint="cs"/>
          <w:sz w:val="24"/>
          <w:szCs w:val="24"/>
          <w:rtl/>
        </w:rPr>
        <w:t xml:space="preserve"> שינוי משמעותי התרחש בשתי הקבוצות.</w:t>
      </w:r>
    </w:p>
    <w:p w:rsidR="00F51355" w:rsidRPr="006B49C0" w:rsidRDefault="00F51355" w:rsidP="006B49C0">
      <w:pPr>
        <w:autoSpaceDE w:val="0"/>
        <w:autoSpaceDN w:val="0"/>
        <w:adjustRightInd w:val="0"/>
        <w:spacing w:after="0" w:line="360" w:lineRule="auto"/>
        <w:jc w:val="center"/>
        <w:rPr>
          <w:rFonts w:ascii="AdvP92DE" w:hAnsi="AdvP92DE"/>
          <w:b/>
          <w:bCs/>
          <w:sz w:val="24"/>
          <w:szCs w:val="24"/>
          <w:rtl/>
        </w:rPr>
      </w:pPr>
      <w:r w:rsidRPr="006B49C0">
        <w:rPr>
          <w:rFonts w:ascii="AdvP92DE" w:hAnsi="AdvP92DE" w:hint="cs"/>
          <w:b/>
          <w:bCs/>
          <w:sz w:val="24"/>
          <w:szCs w:val="24"/>
          <w:rtl/>
        </w:rPr>
        <w:t>דיון</w:t>
      </w:r>
    </w:p>
    <w:p w:rsidR="003D254F" w:rsidRDefault="00F51355" w:rsidP="006B49C0">
      <w:pPr>
        <w:autoSpaceDE w:val="0"/>
        <w:autoSpaceDN w:val="0"/>
        <w:adjustRightInd w:val="0"/>
        <w:spacing w:after="0" w:line="360" w:lineRule="auto"/>
        <w:rPr>
          <w:rFonts w:ascii="AdvP92DE" w:hAnsi="AdvP92DE"/>
          <w:sz w:val="24"/>
          <w:szCs w:val="24"/>
          <w:rtl/>
        </w:rPr>
      </w:pPr>
      <w:r>
        <w:rPr>
          <w:rFonts w:ascii="AdvP92DE" w:hAnsi="AdvP92DE" w:hint="cs"/>
          <w:sz w:val="24"/>
          <w:szCs w:val="24"/>
          <w:rtl/>
        </w:rPr>
        <w:t>הממצאים מראים כי שיפורים בבעיות ההתנהגות של הילדים ובתסמיני האמהות כתוצאה מהטיפול ניכרים גם לאחר 6 חודשים בהשוואה לקבוצת הביקורת. בתקופת המעקב, ילדי הגן המשיכו להראות פחות בעיות התנהגות באופן מובהק לעומת קבוצת הביקורת ואמהות קיבלו ציוני נמוכים במו</w:t>
      </w:r>
      <w:r w:rsidR="006B49C0">
        <w:rPr>
          <w:rFonts w:ascii="AdvP92DE" w:hAnsi="AdvP92DE" w:hint="cs"/>
          <w:sz w:val="24"/>
          <w:szCs w:val="24"/>
          <w:rtl/>
        </w:rPr>
        <w:t>ב</w:t>
      </w:r>
      <w:r>
        <w:rPr>
          <w:rFonts w:ascii="AdvP92DE" w:hAnsi="AdvP92DE" w:hint="cs"/>
          <w:sz w:val="24"/>
          <w:szCs w:val="24"/>
          <w:rtl/>
        </w:rPr>
        <w:t>הק בחו</w:t>
      </w:r>
      <w:r w:rsidR="006B49C0">
        <w:rPr>
          <w:rFonts w:ascii="AdvP92DE" w:hAnsi="AdvP92DE" w:hint="cs"/>
          <w:sz w:val="24"/>
          <w:szCs w:val="24"/>
          <w:rtl/>
        </w:rPr>
        <w:t xml:space="preserve">מרה גלובלית של תסמינים בהשוואה </w:t>
      </w:r>
      <w:r>
        <w:rPr>
          <w:rFonts w:ascii="AdvP92DE" w:hAnsi="AdvP92DE" w:hint="cs"/>
          <w:sz w:val="24"/>
          <w:szCs w:val="24"/>
          <w:rtl/>
        </w:rPr>
        <w:t>ל</w:t>
      </w:r>
      <w:r w:rsidR="006B49C0">
        <w:rPr>
          <w:rFonts w:ascii="AdvP92DE" w:hAnsi="AdvP92DE" w:hint="cs"/>
          <w:sz w:val="24"/>
          <w:szCs w:val="24"/>
          <w:rtl/>
        </w:rPr>
        <w:t>קבוצת הב</w:t>
      </w:r>
      <w:r>
        <w:rPr>
          <w:rFonts w:ascii="AdvP92DE" w:hAnsi="AdvP92DE" w:hint="cs"/>
          <w:sz w:val="24"/>
          <w:szCs w:val="24"/>
          <w:rtl/>
        </w:rPr>
        <w:t>יקורת לאחר 6 חודש</w:t>
      </w:r>
      <w:r w:rsidR="006B49C0">
        <w:rPr>
          <w:rFonts w:ascii="AdvP92DE" w:hAnsi="AdvP92DE" w:hint="cs"/>
          <w:sz w:val="24"/>
          <w:szCs w:val="24"/>
          <w:rtl/>
        </w:rPr>
        <w:t>ים. הממצאים מאשרים את ההנחה כי מ</w:t>
      </w:r>
      <w:r>
        <w:rPr>
          <w:rFonts w:ascii="AdvP92DE" w:hAnsi="AdvP92DE" w:hint="cs"/>
          <w:sz w:val="24"/>
          <w:szCs w:val="24"/>
          <w:rtl/>
        </w:rPr>
        <w:t>יקוד קליני ביחסי אם-ילד כמנגנ</w:t>
      </w:r>
      <w:r w:rsidR="006B49C0">
        <w:rPr>
          <w:rFonts w:ascii="AdvP92DE" w:hAnsi="AdvP92DE" w:hint="cs"/>
          <w:sz w:val="24"/>
          <w:szCs w:val="24"/>
          <w:rtl/>
        </w:rPr>
        <w:t>ו</w:t>
      </w:r>
      <w:r>
        <w:rPr>
          <w:rFonts w:ascii="AdvP92DE" w:hAnsi="AdvP92DE" w:hint="cs"/>
          <w:sz w:val="24"/>
          <w:szCs w:val="24"/>
          <w:rtl/>
        </w:rPr>
        <w:t>ן לשינוי יביא להתמדה גדולה יותר של השפעות הטיפול עבור ילדי גן שנחשפו לאלימות בין ההורים ועבור אמותיהן</w:t>
      </w:r>
      <w:r w:rsidR="006B49C0">
        <w:rPr>
          <w:rFonts w:ascii="AdvP92DE" w:hAnsi="AdvP92DE" w:hint="cs"/>
          <w:sz w:val="24"/>
          <w:szCs w:val="24"/>
          <w:rtl/>
        </w:rPr>
        <w:t>,</w:t>
      </w:r>
      <w:r>
        <w:rPr>
          <w:rFonts w:ascii="AdvP92DE" w:hAnsi="AdvP92DE" w:hint="cs"/>
          <w:sz w:val="24"/>
          <w:szCs w:val="24"/>
          <w:rtl/>
        </w:rPr>
        <w:t xml:space="preserve"> לעומת טיפול קהילתי סטנדרטי שמסופק ע"י ניהול מקרה. חשוב לציין כי</w:t>
      </w:r>
      <w:r w:rsidR="006B49C0">
        <w:rPr>
          <w:rFonts w:ascii="AdvP92DE" w:hAnsi="AdvP92DE" w:hint="cs"/>
          <w:sz w:val="24"/>
          <w:szCs w:val="24"/>
          <w:rtl/>
        </w:rPr>
        <w:t xml:space="preserve"> ניתוחים לאחר 12 חודשים הראו שאצל </w:t>
      </w:r>
      <w:r>
        <w:rPr>
          <w:rFonts w:ascii="AdvP92DE" w:hAnsi="AdvP92DE" w:hint="cs"/>
          <w:sz w:val="24"/>
          <w:szCs w:val="24"/>
          <w:rtl/>
        </w:rPr>
        <w:t xml:space="preserve">אמהות בשתי הקבוצות </w:t>
      </w:r>
      <w:r w:rsidR="006B49C0">
        <w:rPr>
          <w:rFonts w:ascii="AdvP92DE" w:hAnsi="AdvP92DE" w:hint="cs"/>
          <w:sz w:val="24"/>
          <w:szCs w:val="24"/>
          <w:rtl/>
        </w:rPr>
        <w:t>חלה ירידה</w:t>
      </w:r>
      <w:r>
        <w:rPr>
          <w:rFonts w:ascii="AdvP92DE" w:hAnsi="AdvP92DE" w:hint="cs"/>
          <w:sz w:val="24"/>
          <w:szCs w:val="24"/>
          <w:rtl/>
        </w:rPr>
        <w:t xml:space="preserve"> בחומרת התס</w:t>
      </w:r>
      <w:r w:rsidR="006B49C0">
        <w:rPr>
          <w:rFonts w:ascii="AdvP92DE" w:hAnsi="AdvP92DE" w:hint="cs"/>
          <w:sz w:val="24"/>
          <w:szCs w:val="24"/>
          <w:rtl/>
        </w:rPr>
        <w:t>מינים הגלובליים. למרות שלא נמצאה</w:t>
      </w:r>
      <w:r>
        <w:rPr>
          <w:rFonts w:ascii="AdvP92DE" w:hAnsi="AdvP92DE" w:hint="cs"/>
          <w:sz w:val="24"/>
          <w:szCs w:val="24"/>
          <w:rtl/>
        </w:rPr>
        <w:t xml:space="preserve"> אינטראקציה מובהקת</w:t>
      </w:r>
      <w:r w:rsidR="003D254F">
        <w:rPr>
          <w:rFonts w:ascii="AdvP92DE" w:hAnsi="AdvP92DE" w:hint="cs"/>
          <w:sz w:val="24"/>
          <w:szCs w:val="24"/>
          <w:rtl/>
        </w:rPr>
        <w:t xml:space="preserve"> בין</w:t>
      </w:r>
      <w:r>
        <w:rPr>
          <w:rFonts w:ascii="AdvP92DE" w:hAnsi="AdvP92DE" w:hint="cs"/>
          <w:sz w:val="24"/>
          <w:szCs w:val="24"/>
          <w:rtl/>
        </w:rPr>
        <w:t xml:space="preserve"> קבוצה-זמן מייד לאחר סיום הטיפול, הירידה בחומרת ה</w:t>
      </w:r>
      <w:r w:rsidR="003D254F">
        <w:rPr>
          <w:rFonts w:ascii="AdvP92DE" w:hAnsi="AdvP92DE" w:hint="cs"/>
          <w:sz w:val="24"/>
          <w:szCs w:val="24"/>
          <w:rtl/>
        </w:rPr>
        <w:t>תס</w:t>
      </w:r>
      <w:r>
        <w:rPr>
          <w:rFonts w:ascii="AdvP92DE" w:hAnsi="AdvP92DE" w:hint="cs"/>
          <w:sz w:val="24"/>
          <w:szCs w:val="24"/>
          <w:rtl/>
        </w:rPr>
        <w:t>מינים הייתה מובהקת סטטיסטית רק עבור אמהות קבוצת הטיפול ואילו אמהות קבוצת הביקורת הראו רק מגמה בכיוון זה. בניגוד לכך, הערכת המעקב גילתה ירידה מובהקת בתסמין רק עבור אמהות קבוצת הטיפול. הממצא מצביע על כך שאמהות בקבוצת הטיפול המשיכו להשתפר לאחר סיום הטיפ</w:t>
      </w:r>
      <w:r w:rsidR="003D254F">
        <w:rPr>
          <w:rFonts w:ascii="AdvP92DE" w:hAnsi="AdvP92DE" w:hint="cs"/>
          <w:sz w:val="24"/>
          <w:szCs w:val="24"/>
          <w:rtl/>
        </w:rPr>
        <w:t>ו</w:t>
      </w:r>
      <w:r>
        <w:rPr>
          <w:rFonts w:ascii="AdvP92DE" w:hAnsi="AdvP92DE" w:hint="cs"/>
          <w:sz w:val="24"/>
          <w:szCs w:val="24"/>
          <w:rtl/>
        </w:rPr>
        <w:t>ל בעוד אמהות הביקורת</w:t>
      </w:r>
      <w:r w:rsidR="003D254F">
        <w:rPr>
          <w:rFonts w:ascii="AdvP92DE" w:hAnsi="AdvP92DE" w:hint="cs"/>
          <w:sz w:val="24"/>
          <w:szCs w:val="24"/>
          <w:rtl/>
        </w:rPr>
        <w:t xml:space="preserve"> -</w:t>
      </w:r>
      <w:r>
        <w:rPr>
          <w:rFonts w:ascii="AdvP92DE" w:hAnsi="AdvP92DE" w:hint="cs"/>
          <w:sz w:val="24"/>
          <w:szCs w:val="24"/>
          <w:rtl/>
        </w:rPr>
        <w:t xml:space="preserve"> לא.</w:t>
      </w:r>
      <w:r w:rsidR="002F798F">
        <w:rPr>
          <w:rFonts w:ascii="AdvP92DE" w:hAnsi="AdvP92DE" w:hint="cs"/>
          <w:sz w:val="24"/>
          <w:szCs w:val="24"/>
          <w:rtl/>
        </w:rPr>
        <w:t xml:space="preserve"> אינטרא</w:t>
      </w:r>
      <w:r w:rsidR="003D254F">
        <w:rPr>
          <w:rFonts w:ascii="AdvP92DE" w:hAnsi="AdvP92DE" w:hint="cs"/>
          <w:sz w:val="24"/>
          <w:szCs w:val="24"/>
          <w:rtl/>
        </w:rPr>
        <w:t>ק</w:t>
      </w:r>
      <w:r w:rsidR="002F798F">
        <w:rPr>
          <w:rFonts w:ascii="AdvP92DE" w:hAnsi="AdvP92DE" w:hint="cs"/>
          <w:sz w:val="24"/>
          <w:szCs w:val="24"/>
          <w:rtl/>
        </w:rPr>
        <w:t xml:space="preserve">ציית  </w:t>
      </w:r>
      <w:r w:rsidR="002F798F">
        <w:rPr>
          <w:rFonts w:ascii="AdvP92DE" w:hAnsi="AdvP92DE" w:hint="cs"/>
          <w:sz w:val="24"/>
          <w:szCs w:val="24"/>
        </w:rPr>
        <w:t>GSI</w:t>
      </w:r>
      <w:r w:rsidR="002F798F">
        <w:rPr>
          <w:rFonts w:ascii="AdvP92DE" w:hAnsi="AdvP92DE" w:hint="cs"/>
          <w:sz w:val="24"/>
          <w:szCs w:val="24"/>
          <w:rtl/>
        </w:rPr>
        <w:t xml:space="preserve"> קבוצה-זמן היית מובהקת רק עבור </w:t>
      </w:r>
      <w:proofErr w:type="spellStart"/>
      <w:r w:rsidR="002F798F">
        <w:rPr>
          <w:rFonts w:ascii="AdvP92DE" w:hAnsi="AdvP92DE" w:hint="cs"/>
          <w:sz w:val="24"/>
          <w:szCs w:val="24"/>
          <w:rtl/>
        </w:rPr>
        <w:t>האמהות</w:t>
      </w:r>
      <w:proofErr w:type="spellEnd"/>
      <w:r w:rsidR="002F798F">
        <w:rPr>
          <w:rFonts w:ascii="AdvP92DE" w:hAnsi="AdvP92DE" w:hint="cs"/>
          <w:sz w:val="24"/>
          <w:szCs w:val="24"/>
          <w:rtl/>
        </w:rPr>
        <w:t xml:space="preserve"> שלקחו חלק במעקב. ניתוח ה-</w:t>
      </w:r>
      <w:r w:rsidR="002F798F">
        <w:rPr>
          <w:rFonts w:ascii="AdvP92DE" w:hAnsi="AdvP92DE" w:hint="cs"/>
          <w:sz w:val="24"/>
          <w:szCs w:val="24"/>
        </w:rPr>
        <w:t>ITT</w:t>
      </w:r>
      <w:r w:rsidR="002F798F">
        <w:rPr>
          <w:rFonts w:ascii="AdvP92DE" w:hAnsi="AdvP92DE" w:hint="cs"/>
          <w:sz w:val="24"/>
          <w:szCs w:val="24"/>
          <w:rtl/>
        </w:rPr>
        <w:t xml:space="preserve"> (כוונה-לטפל) לא הראה אינטראקציה מובהקת, אולי בגלל האופי השמרני של השיטה ששימשה לחישוב השינוי בקבוצת ה-</w:t>
      </w:r>
      <w:r w:rsidR="002F798F">
        <w:rPr>
          <w:rFonts w:ascii="AdvP92DE" w:hAnsi="AdvP92DE" w:hint="cs"/>
          <w:sz w:val="24"/>
          <w:szCs w:val="24"/>
        </w:rPr>
        <w:t>ITT</w:t>
      </w:r>
      <w:r w:rsidR="002F798F">
        <w:rPr>
          <w:rFonts w:ascii="AdvP92DE" w:hAnsi="AdvP92DE" w:hint="cs"/>
          <w:sz w:val="24"/>
          <w:szCs w:val="24"/>
          <w:rtl/>
        </w:rPr>
        <w:t>, שהורכבה מגרירת הציון הזמין האחרון. ההבדלים המובהקים בין הקבוצות ב</w:t>
      </w:r>
      <w:r w:rsidR="003D254F">
        <w:rPr>
          <w:rFonts w:ascii="AdvP92DE" w:hAnsi="AdvP92DE" w:hint="cs"/>
          <w:sz w:val="24"/>
          <w:szCs w:val="24"/>
          <w:rtl/>
        </w:rPr>
        <w:t>יחס ל</w:t>
      </w:r>
      <w:r w:rsidR="002F798F">
        <w:rPr>
          <w:rFonts w:ascii="AdvP92DE" w:hAnsi="AdvP92DE" w:hint="cs"/>
          <w:sz w:val="24"/>
          <w:szCs w:val="24"/>
          <w:rtl/>
        </w:rPr>
        <w:t xml:space="preserve">שיפור בציוני  </w:t>
      </w:r>
      <w:r w:rsidR="002F798F">
        <w:rPr>
          <w:rFonts w:ascii="AdvP92DE" w:hAnsi="AdvP92DE" w:hint="cs"/>
          <w:sz w:val="24"/>
          <w:szCs w:val="24"/>
        </w:rPr>
        <w:t>GSI</w:t>
      </w:r>
      <w:r w:rsidR="002F798F">
        <w:rPr>
          <w:rFonts w:ascii="AdvP92DE" w:hAnsi="AdvP92DE" w:hint="cs"/>
          <w:sz w:val="24"/>
          <w:szCs w:val="24"/>
          <w:rtl/>
        </w:rPr>
        <w:t xml:space="preserve"> (אינטראקציות קבוצה</w:t>
      </w:r>
      <w:r w:rsidR="002F798F">
        <w:rPr>
          <w:rFonts w:ascii="AdvP92DE" w:hAnsi="AdvP92DE"/>
          <w:sz w:val="24"/>
          <w:szCs w:val="24"/>
        </w:rPr>
        <w:t>x</w:t>
      </w:r>
      <w:r w:rsidR="002F798F">
        <w:rPr>
          <w:rFonts w:ascii="AdvP92DE" w:hAnsi="AdvP92DE" w:hint="cs"/>
          <w:sz w:val="24"/>
          <w:szCs w:val="24"/>
          <w:rtl/>
        </w:rPr>
        <w:t>זמן) טוטאליים מפתיע</w:t>
      </w:r>
      <w:r w:rsidR="003D254F">
        <w:rPr>
          <w:rFonts w:ascii="AdvP92DE" w:hAnsi="AdvP92DE" w:hint="cs"/>
          <w:sz w:val="24"/>
          <w:szCs w:val="24"/>
          <w:rtl/>
        </w:rPr>
        <w:t>ים</w:t>
      </w:r>
      <w:r w:rsidR="002F798F">
        <w:rPr>
          <w:rFonts w:ascii="AdvP92DE" w:hAnsi="AdvP92DE" w:hint="cs"/>
          <w:sz w:val="24"/>
          <w:szCs w:val="24"/>
          <w:rtl/>
        </w:rPr>
        <w:t xml:space="preserve"> משום ש-73% מהאמהות בקבוצת הביק</w:t>
      </w:r>
      <w:r w:rsidR="003D254F">
        <w:rPr>
          <w:rFonts w:ascii="AdvP92DE" w:hAnsi="AdvP92DE" w:hint="cs"/>
          <w:sz w:val="24"/>
          <w:szCs w:val="24"/>
          <w:rtl/>
        </w:rPr>
        <w:t>ורת קיבלו פסיכותרפיה אישית בנוסף</w:t>
      </w:r>
      <w:r w:rsidR="002F798F">
        <w:rPr>
          <w:rFonts w:ascii="AdvP92DE" w:hAnsi="AdvP92DE" w:hint="cs"/>
          <w:sz w:val="24"/>
          <w:szCs w:val="24"/>
          <w:rtl/>
        </w:rPr>
        <w:t xml:space="preserve"> לניהול מקרה רגיל. תהליך השיפור המתמשך ב</w:t>
      </w:r>
      <w:r w:rsidR="003D254F">
        <w:rPr>
          <w:rFonts w:ascii="AdvP92DE" w:hAnsi="AdvP92DE" w:hint="cs"/>
          <w:sz w:val="24"/>
          <w:szCs w:val="24"/>
          <w:rtl/>
        </w:rPr>
        <w:t>קרב הקבוצה הטיפולית תומך בהנחה ש</w:t>
      </w:r>
      <w:r w:rsidR="002F798F">
        <w:rPr>
          <w:rFonts w:ascii="AdvP92DE" w:hAnsi="AdvP92DE" w:hint="cs"/>
          <w:sz w:val="24"/>
          <w:szCs w:val="24"/>
          <w:rtl/>
        </w:rPr>
        <w:t>רווחה נפשית של נשים מ</w:t>
      </w:r>
      <w:r w:rsidR="003D254F">
        <w:rPr>
          <w:rFonts w:ascii="AdvP92DE" w:hAnsi="AdvP92DE" w:hint="cs"/>
          <w:sz w:val="24"/>
          <w:szCs w:val="24"/>
          <w:rtl/>
        </w:rPr>
        <w:t>וש</w:t>
      </w:r>
      <w:r w:rsidR="002F798F">
        <w:rPr>
          <w:rFonts w:ascii="AdvP92DE" w:hAnsi="AdvP92DE" w:hint="cs"/>
          <w:sz w:val="24"/>
          <w:szCs w:val="24"/>
          <w:rtl/>
        </w:rPr>
        <w:t xml:space="preserve">פעת בחוזקה מתחושת הכשירות כאמהות ושביעות הרצון שלהן מתפקוד הילד. </w:t>
      </w:r>
    </w:p>
    <w:p w:rsidR="00F51355" w:rsidRDefault="002F798F" w:rsidP="006B49C0">
      <w:pPr>
        <w:autoSpaceDE w:val="0"/>
        <w:autoSpaceDN w:val="0"/>
        <w:adjustRightInd w:val="0"/>
        <w:spacing w:after="0" w:line="360" w:lineRule="auto"/>
        <w:rPr>
          <w:rFonts w:ascii="AdvP92DE" w:hAnsi="AdvP92DE"/>
          <w:sz w:val="24"/>
          <w:szCs w:val="24"/>
          <w:rtl/>
        </w:rPr>
      </w:pPr>
      <w:r>
        <w:rPr>
          <w:rFonts w:ascii="AdvP92DE" w:hAnsi="AdvP92DE" w:hint="cs"/>
          <w:sz w:val="24"/>
          <w:szCs w:val="24"/>
          <w:rtl/>
        </w:rPr>
        <w:t xml:space="preserve">אנו מניחים </w:t>
      </w:r>
      <w:r w:rsidRPr="00EB275E">
        <w:rPr>
          <w:rFonts w:ascii="AdvP92DE" w:hAnsi="AdvP92DE" w:hint="cs"/>
          <w:sz w:val="24"/>
          <w:szCs w:val="24"/>
          <w:highlight w:val="yellow"/>
          <w:rtl/>
        </w:rPr>
        <w:t>שני מנגנונים</w:t>
      </w:r>
      <w:r>
        <w:rPr>
          <w:rFonts w:ascii="AdvP92DE" w:hAnsi="AdvP92DE" w:hint="cs"/>
          <w:sz w:val="24"/>
          <w:szCs w:val="24"/>
          <w:rtl/>
        </w:rPr>
        <w:t xml:space="preserve"> לשיפור המובהק בתסמינים גלובליים של האמהות במעקב. </w:t>
      </w:r>
      <w:r w:rsidRPr="00EB275E">
        <w:rPr>
          <w:rFonts w:ascii="AdvP92DE" w:hAnsi="AdvP92DE" w:hint="cs"/>
          <w:sz w:val="24"/>
          <w:szCs w:val="24"/>
          <w:highlight w:val="yellow"/>
          <w:rtl/>
        </w:rPr>
        <w:t>אחד</w:t>
      </w:r>
      <w:r>
        <w:rPr>
          <w:rFonts w:ascii="AdvP92DE" w:hAnsi="AdvP92DE" w:hint="cs"/>
          <w:sz w:val="24"/>
          <w:szCs w:val="24"/>
          <w:rtl/>
        </w:rPr>
        <w:t xml:space="preserve"> כרוך בהשפעות ארוכות הטווח של העזרה שניתנה לאמהות ולי</w:t>
      </w:r>
      <w:r w:rsidR="00EB275E">
        <w:rPr>
          <w:rFonts w:ascii="AdvP92DE" w:hAnsi="AdvP92DE" w:hint="cs"/>
          <w:sz w:val="24"/>
          <w:szCs w:val="24"/>
          <w:rtl/>
        </w:rPr>
        <w:t>לד</w:t>
      </w:r>
      <w:r>
        <w:rPr>
          <w:rFonts w:ascii="AdvP92DE" w:hAnsi="AdvP92DE" w:hint="cs"/>
          <w:sz w:val="24"/>
          <w:szCs w:val="24"/>
          <w:rtl/>
        </w:rPr>
        <w:t>ים ליצור נרטיב משותף של הטראומה</w:t>
      </w:r>
      <w:r w:rsidR="00EB275E">
        <w:rPr>
          <w:rFonts w:ascii="AdvP92DE" w:hAnsi="AdvP92DE" w:hint="cs"/>
          <w:sz w:val="24"/>
          <w:szCs w:val="24"/>
          <w:rtl/>
        </w:rPr>
        <w:t>, תוך הרחבת ההנחיות לטיפול בפוסט-</w:t>
      </w:r>
      <w:r>
        <w:rPr>
          <w:rFonts w:ascii="AdvP92DE" w:hAnsi="AdvP92DE" w:hint="cs"/>
          <w:sz w:val="24"/>
          <w:szCs w:val="24"/>
          <w:rtl/>
        </w:rPr>
        <w:t>טראומה לילדים ובני נוער על יחסי אם-ילד. בסוף הטיפול אמהות בקבוצה בטיפולית הראו ירידה מובהקת בתסמינים בהשוואה לקבוצת הביקורת. אנו טוענים שככל שיורדת ההימנעות מאזכור</w:t>
      </w:r>
      <w:r w:rsidR="00EB275E">
        <w:rPr>
          <w:rFonts w:ascii="AdvP92DE" w:hAnsi="AdvP92DE" w:hint="cs"/>
          <w:sz w:val="24"/>
          <w:szCs w:val="24"/>
          <w:rtl/>
        </w:rPr>
        <w:t>י טראומה אצל האם השיפור בתפקוד י</w:t>
      </w:r>
      <w:r>
        <w:rPr>
          <w:rFonts w:ascii="AdvP92DE" w:hAnsi="AdvP92DE" w:hint="cs"/>
          <w:sz w:val="24"/>
          <w:szCs w:val="24"/>
          <w:rtl/>
        </w:rPr>
        <w:t>ביא לירידה בתסמיני מצ</w:t>
      </w:r>
      <w:r w:rsidR="00EB275E">
        <w:rPr>
          <w:rFonts w:ascii="AdvP92DE" w:hAnsi="AdvP92DE" w:hint="cs"/>
          <w:sz w:val="24"/>
          <w:szCs w:val="24"/>
          <w:rtl/>
        </w:rPr>
        <w:t>וקה אחרים לאחר 6 חודשים. כמו כן</w:t>
      </w:r>
      <w:r>
        <w:rPr>
          <w:rFonts w:ascii="AdvP92DE" w:hAnsi="AdvP92DE" w:hint="cs"/>
          <w:sz w:val="24"/>
          <w:szCs w:val="24"/>
          <w:rtl/>
        </w:rPr>
        <w:t xml:space="preserve"> אנו מניחים שהמנגנון ה</w:t>
      </w:r>
      <w:r w:rsidRPr="00EB275E">
        <w:rPr>
          <w:rFonts w:ascii="AdvP92DE" w:hAnsi="AdvP92DE" w:hint="cs"/>
          <w:sz w:val="24"/>
          <w:szCs w:val="24"/>
          <w:highlight w:val="yellow"/>
          <w:rtl/>
        </w:rPr>
        <w:t>שני</w:t>
      </w:r>
      <w:r>
        <w:rPr>
          <w:rFonts w:ascii="AdvP92DE" w:hAnsi="AdvP92DE" w:hint="cs"/>
          <w:sz w:val="24"/>
          <w:szCs w:val="24"/>
          <w:rtl/>
        </w:rPr>
        <w:t xml:space="preserve"> </w:t>
      </w:r>
      <w:r>
        <w:rPr>
          <w:rFonts w:ascii="AdvP92DE" w:hAnsi="AdvP92DE" w:hint="cs"/>
          <w:sz w:val="24"/>
          <w:szCs w:val="24"/>
          <w:rtl/>
        </w:rPr>
        <w:lastRenderedPageBreak/>
        <w:t xml:space="preserve">שמסביר תפקוד </w:t>
      </w:r>
      <w:proofErr w:type="spellStart"/>
      <w:r>
        <w:rPr>
          <w:rFonts w:ascii="AdvP92DE" w:hAnsi="AdvP92DE" w:hint="cs"/>
          <w:sz w:val="24"/>
          <w:szCs w:val="24"/>
          <w:rtl/>
        </w:rPr>
        <w:t>אמהי</w:t>
      </w:r>
      <w:proofErr w:type="spellEnd"/>
      <w:r>
        <w:rPr>
          <w:rFonts w:ascii="AdvP92DE" w:hAnsi="AdvP92DE" w:hint="cs"/>
          <w:sz w:val="24"/>
          <w:szCs w:val="24"/>
          <w:rtl/>
        </w:rPr>
        <w:t xml:space="preserve"> משופר</w:t>
      </w:r>
      <w:r w:rsidR="00EB275E">
        <w:rPr>
          <w:rFonts w:ascii="AdvP92DE" w:hAnsi="AdvP92DE" w:hint="cs"/>
          <w:sz w:val="24"/>
          <w:szCs w:val="24"/>
          <w:rtl/>
        </w:rPr>
        <w:t>,</w:t>
      </w:r>
      <w:r>
        <w:rPr>
          <w:rFonts w:ascii="AdvP92DE" w:hAnsi="AdvP92DE" w:hint="cs"/>
          <w:sz w:val="24"/>
          <w:szCs w:val="24"/>
          <w:rtl/>
        </w:rPr>
        <w:t xml:space="preserve"> יכול להיות שיפור של הילדים כתוצאה מהטיפול, שהפך לגורם מגן במסגרת התפקוד הנפשי של האם ו</w:t>
      </w:r>
      <w:r w:rsidR="00EB275E">
        <w:rPr>
          <w:rFonts w:ascii="AdvP92DE" w:hAnsi="AdvP92DE" w:hint="cs"/>
          <w:sz w:val="24"/>
          <w:szCs w:val="24"/>
          <w:rtl/>
        </w:rPr>
        <w:t>דחף להמשך</w:t>
      </w:r>
      <w:r w:rsidR="00F55E2F">
        <w:rPr>
          <w:rFonts w:ascii="AdvP92DE" w:hAnsi="AdvP92DE" w:hint="cs"/>
          <w:sz w:val="24"/>
          <w:szCs w:val="24"/>
          <w:rtl/>
        </w:rPr>
        <w:t xml:space="preserve"> הירידה בתסמינים שלה.</w:t>
      </w:r>
    </w:p>
    <w:p w:rsidR="00F55E2F" w:rsidRPr="00EB275E" w:rsidRDefault="00F55E2F" w:rsidP="00D41E65">
      <w:pPr>
        <w:autoSpaceDE w:val="0"/>
        <w:autoSpaceDN w:val="0"/>
        <w:adjustRightInd w:val="0"/>
        <w:spacing w:after="0" w:line="360" w:lineRule="auto"/>
        <w:rPr>
          <w:rFonts w:ascii="AdvP92DE" w:hAnsi="AdvP92DE"/>
          <w:sz w:val="24"/>
          <w:szCs w:val="24"/>
          <w:u w:val="single"/>
          <w:rtl/>
        </w:rPr>
      </w:pPr>
      <w:r w:rsidRPr="00EB275E">
        <w:rPr>
          <w:rFonts w:ascii="AdvP92DE" w:hAnsi="AdvP92DE" w:hint="cs"/>
          <w:sz w:val="24"/>
          <w:szCs w:val="24"/>
          <w:u w:val="single"/>
          <w:rtl/>
        </w:rPr>
        <w:t>מגבלות</w:t>
      </w:r>
    </w:p>
    <w:p w:rsidR="00F55E2F" w:rsidRDefault="00EB275E" w:rsidP="00EB275E">
      <w:pPr>
        <w:autoSpaceDE w:val="0"/>
        <w:autoSpaceDN w:val="0"/>
        <w:adjustRightInd w:val="0"/>
        <w:spacing w:after="0" w:line="360" w:lineRule="auto"/>
        <w:rPr>
          <w:rFonts w:ascii="AdvP92DE" w:hAnsi="AdvP92DE"/>
          <w:sz w:val="24"/>
          <w:szCs w:val="24"/>
          <w:rtl/>
        </w:rPr>
      </w:pPr>
      <w:r>
        <w:rPr>
          <w:rFonts w:ascii="AdvP92DE" w:hAnsi="AdvP92DE" w:hint="cs"/>
          <w:sz w:val="24"/>
          <w:szCs w:val="24"/>
          <w:rtl/>
        </w:rPr>
        <w:t>ה</w:t>
      </w:r>
      <w:r w:rsidR="00F55E2F">
        <w:rPr>
          <w:rFonts w:ascii="AdvP92DE" w:hAnsi="AdvP92DE" w:hint="cs"/>
          <w:sz w:val="24"/>
          <w:szCs w:val="24"/>
          <w:rtl/>
        </w:rPr>
        <w:t>מדגם קטן יחסית ו</w:t>
      </w:r>
      <w:r>
        <w:rPr>
          <w:rFonts w:ascii="AdvP92DE" w:hAnsi="AdvP92DE" w:hint="cs"/>
          <w:sz w:val="24"/>
          <w:szCs w:val="24"/>
          <w:rtl/>
        </w:rPr>
        <w:t>מסתמך</w:t>
      </w:r>
      <w:r w:rsidR="00F55E2F">
        <w:rPr>
          <w:rFonts w:ascii="AdvP92DE" w:hAnsi="AdvP92DE" w:hint="cs"/>
          <w:sz w:val="24"/>
          <w:szCs w:val="24"/>
          <w:rtl/>
        </w:rPr>
        <w:t xml:space="preserve"> על דיווחי האם ביחס אליה ולילד. לא יכולנו לוודא אם המשיכה אינטראקצי</w:t>
      </w:r>
      <w:r>
        <w:rPr>
          <w:rFonts w:ascii="AdvP92DE" w:hAnsi="AdvP92DE" w:hint="cs"/>
          <w:sz w:val="24"/>
          <w:szCs w:val="24"/>
          <w:rtl/>
        </w:rPr>
        <w:t>ה מובהקת</w:t>
      </w:r>
      <w:r w:rsidR="00F55E2F">
        <w:rPr>
          <w:rFonts w:ascii="AdvP92DE" w:hAnsi="AdvP92DE" w:hint="cs"/>
          <w:sz w:val="24"/>
          <w:szCs w:val="24"/>
          <w:rtl/>
        </w:rPr>
        <w:t xml:space="preserve"> קבוצה-זמן בתדירות ובחומרה של התסמינים הפוסט טראומטיים של האם והילד לאחר 6 חודשים</w:t>
      </w:r>
      <w:r>
        <w:rPr>
          <w:rFonts w:ascii="AdvP92DE" w:hAnsi="AdvP92DE" w:hint="cs"/>
          <w:sz w:val="24"/>
          <w:szCs w:val="24"/>
          <w:rtl/>
        </w:rPr>
        <w:t>,</w:t>
      </w:r>
      <w:r w:rsidR="00F55E2F">
        <w:rPr>
          <w:rFonts w:ascii="AdvP92DE" w:hAnsi="AdvP92DE" w:hint="cs"/>
          <w:sz w:val="24"/>
          <w:szCs w:val="24"/>
          <w:rtl/>
        </w:rPr>
        <w:t xml:space="preserve"> מאחר ובשל משאבים מוגבלים הראיונות האבחוניים בסוף הטיפול לא נערכו גם במעקב. בהערכת המעקב, הדיאדות ש</w:t>
      </w:r>
      <w:r>
        <w:rPr>
          <w:rFonts w:ascii="AdvP92DE" w:hAnsi="AdvP92DE" w:hint="cs"/>
          <w:sz w:val="24"/>
          <w:szCs w:val="24"/>
          <w:rtl/>
        </w:rPr>
        <w:t xml:space="preserve">עזבו את </w:t>
      </w:r>
      <w:r w:rsidR="00F55E2F">
        <w:rPr>
          <w:rFonts w:ascii="AdvP92DE" w:hAnsi="AdvP92DE" w:hint="cs"/>
          <w:sz w:val="24"/>
          <w:szCs w:val="24"/>
          <w:rtl/>
        </w:rPr>
        <w:t>המחקר היו עם ילדים צע</w:t>
      </w:r>
      <w:r>
        <w:rPr>
          <w:rFonts w:ascii="AdvP92DE" w:hAnsi="AdvP92DE" w:hint="cs"/>
          <w:sz w:val="24"/>
          <w:szCs w:val="24"/>
          <w:rtl/>
        </w:rPr>
        <w:t>ירי</w:t>
      </w:r>
      <w:r w:rsidR="00F55E2F">
        <w:rPr>
          <w:rFonts w:ascii="AdvP92DE" w:hAnsi="AdvP92DE" w:hint="cs"/>
          <w:sz w:val="24"/>
          <w:szCs w:val="24"/>
          <w:rtl/>
        </w:rPr>
        <w:t>ם יותר מאלה שסיימו את המחקר ובקבוצת ההשוואה היו יותר בנים. הבדלי</w:t>
      </w:r>
      <w:r>
        <w:rPr>
          <w:rFonts w:ascii="AdvP92DE" w:hAnsi="AdvP92DE" w:hint="cs"/>
          <w:sz w:val="24"/>
          <w:szCs w:val="24"/>
          <w:rtl/>
        </w:rPr>
        <w:t xml:space="preserve">ם אלה עשויים להיות תוצאה מקרית בשל </w:t>
      </w:r>
      <w:r w:rsidR="00F55E2F">
        <w:rPr>
          <w:rFonts w:ascii="AdvP92DE" w:hAnsi="AdvP92DE" w:hint="cs"/>
          <w:sz w:val="24"/>
          <w:szCs w:val="24"/>
          <w:rtl/>
        </w:rPr>
        <w:t xml:space="preserve">גודל מדגם קטן משום שלא נמצאו הבדלים קבוצתיים במשתנים אחרים בין 12 חודש למדגמי המעקב או </w:t>
      </w:r>
      <w:r>
        <w:rPr>
          <w:rFonts w:ascii="AdvP92DE" w:hAnsi="AdvP92DE" w:hint="cs"/>
          <w:sz w:val="24"/>
          <w:szCs w:val="24"/>
          <w:rtl/>
        </w:rPr>
        <w:t>קבוצת</w:t>
      </w:r>
      <w:r w:rsidR="00F55E2F">
        <w:rPr>
          <w:rFonts w:ascii="AdvP92DE" w:hAnsi="AdvP92DE" w:hint="cs"/>
          <w:sz w:val="24"/>
          <w:szCs w:val="24"/>
          <w:rtl/>
        </w:rPr>
        <w:t xml:space="preserve"> המעקב וקבוצת הביקורת. יש צורך במחקרים עתידיים שיכ</w:t>
      </w:r>
      <w:r>
        <w:rPr>
          <w:rFonts w:ascii="AdvP92DE" w:hAnsi="AdvP92DE" w:hint="cs"/>
          <w:sz w:val="24"/>
          <w:szCs w:val="24"/>
          <w:rtl/>
        </w:rPr>
        <w:t>ללו מדגם ג</w:t>
      </w:r>
      <w:r w:rsidR="00F55E2F">
        <w:rPr>
          <w:rFonts w:ascii="AdvP92DE" w:hAnsi="AdvP92DE" w:hint="cs"/>
          <w:sz w:val="24"/>
          <w:szCs w:val="24"/>
          <w:rtl/>
        </w:rPr>
        <w:t>ד</w:t>
      </w:r>
      <w:r>
        <w:rPr>
          <w:rFonts w:ascii="AdvP92DE" w:hAnsi="AdvP92DE" w:hint="cs"/>
          <w:sz w:val="24"/>
          <w:szCs w:val="24"/>
          <w:rtl/>
        </w:rPr>
        <w:t>ו</w:t>
      </w:r>
      <w:r w:rsidR="00F55E2F">
        <w:rPr>
          <w:rFonts w:ascii="AdvP92DE" w:hAnsi="AdvP92DE" w:hint="cs"/>
          <w:sz w:val="24"/>
          <w:szCs w:val="24"/>
          <w:rtl/>
        </w:rPr>
        <w:t>ל יותר ויוסיפו תצפיות וכלי</w:t>
      </w:r>
      <w:r>
        <w:rPr>
          <w:rFonts w:ascii="AdvP92DE" w:hAnsi="AdvP92DE" w:hint="cs"/>
          <w:sz w:val="24"/>
          <w:szCs w:val="24"/>
          <w:rtl/>
        </w:rPr>
        <w:t>ם</w:t>
      </w:r>
      <w:r w:rsidR="00F55E2F">
        <w:rPr>
          <w:rFonts w:ascii="AdvP92DE" w:hAnsi="AdvP92DE" w:hint="cs"/>
          <w:sz w:val="24"/>
          <w:szCs w:val="24"/>
          <w:rtl/>
        </w:rPr>
        <w:t xml:space="preserve"> אבחוניים להערכות המעקב כדי לעקוף מגבלות אלה.</w:t>
      </w:r>
    </w:p>
    <w:p w:rsidR="00F55E2F" w:rsidRDefault="00F55E2F" w:rsidP="00EB275E">
      <w:pPr>
        <w:autoSpaceDE w:val="0"/>
        <w:autoSpaceDN w:val="0"/>
        <w:adjustRightInd w:val="0"/>
        <w:spacing w:after="0" w:line="360" w:lineRule="auto"/>
        <w:rPr>
          <w:rFonts w:ascii="AdvP92DE" w:hAnsi="AdvP92DE"/>
          <w:sz w:val="24"/>
          <w:szCs w:val="24"/>
          <w:rtl/>
        </w:rPr>
      </w:pPr>
      <w:proofErr w:type="spellStart"/>
      <w:r>
        <w:rPr>
          <w:rFonts w:ascii="AdvP92DE" w:hAnsi="AdvP92DE" w:hint="cs"/>
          <w:sz w:val="24"/>
          <w:szCs w:val="24"/>
          <w:rtl/>
        </w:rPr>
        <w:t>חוזקות</w:t>
      </w:r>
      <w:proofErr w:type="spellEnd"/>
      <w:r>
        <w:rPr>
          <w:rFonts w:ascii="AdvP92DE" w:hAnsi="AdvP92DE" w:hint="cs"/>
          <w:sz w:val="24"/>
          <w:szCs w:val="24"/>
          <w:rtl/>
        </w:rPr>
        <w:t xml:space="preserve"> </w:t>
      </w:r>
      <w:r w:rsidR="00EB275E">
        <w:rPr>
          <w:rFonts w:ascii="AdvP92DE" w:hAnsi="AdvP92DE" w:hint="cs"/>
          <w:sz w:val="24"/>
          <w:szCs w:val="24"/>
          <w:rtl/>
        </w:rPr>
        <w:t>של המחקר כוללות מדגם מגוון מבחינ</w:t>
      </w:r>
      <w:r>
        <w:rPr>
          <w:rFonts w:ascii="AdvP92DE" w:hAnsi="AdvP92DE" w:hint="cs"/>
          <w:sz w:val="24"/>
          <w:szCs w:val="24"/>
          <w:rtl/>
        </w:rPr>
        <w:t>ה אתנית שגויס ממרכזי טיפול קהילתיים ולא ממקלטים לנשים מוכות. חוזקה נוספת הייתה ה</w:t>
      </w:r>
      <w:r w:rsidR="00EB275E">
        <w:rPr>
          <w:rFonts w:ascii="AdvP92DE" w:hAnsi="AdvP92DE" w:hint="cs"/>
          <w:sz w:val="24"/>
          <w:szCs w:val="24"/>
          <w:rtl/>
        </w:rPr>
        <w:t>נוכחות</w:t>
      </w:r>
      <w:r>
        <w:rPr>
          <w:rFonts w:ascii="AdvP92DE" w:hAnsi="AdvP92DE" w:hint="cs"/>
          <w:sz w:val="24"/>
          <w:szCs w:val="24"/>
          <w:rtl/>
        </w:rPr>
        <w:t xml:space="preserve"> המו</w:t>
      </w:r>
      <w:r w:rsidR="00EB275E">
        <w:rPr>
          <w:rFonts w:ascii="AdvP92DE" w:hAnsi="AdvP92DE" w:hint="cs"/>
          <w:sz w:val="24"/>
          <w:szCs w:val="24"/>
          <w:rtl/>
        </w:rPr>
        <w:t>צ</w:t>
      </w:r>
      <w:r>
        <w:rPr>
          <w:rFonts w:ascii="AdvP92DE" w:hAnsi="AdvP92DE" w:hint="cs"/>
          <w:sz w:val="24"/>
          <w:szCs w:val="24"/>
          <w:rtl/>
        </w:rPr>
        <w:t>לחת של</w:t>
      </w:r>
      <w:r w:rsidR="00EB275E">
        <w:rPr>
          <w:rFonts w:ascii="AdvP92DE" w:hAnsi="AdvP92DE" w:hint="cs"/>
          <w:sz w:val="24"/>
          <w:szCs w:val="24"/>
          <w:rtl/>
        </w:rPr>
        <w:t xml:space="preserve"> מדגם המעקב שקשה להחזיק בו לאורך</w:t>
      </w:r>
      <w:r>
        <w:rPr>
          <w:rFonts w:ascii="AdvP92DE" w:hAnsi="AdvP92DE" w:hint="cs"/>
          <w:sz w:val="24"/>
          <w:szCs w:val="24"/>
          <w:rtl/>
        </w:rPr>
        <w:t xml:space="preserve"> זמן בגלל תנאי מגורים לא יציבים הקשורים באלימות הורית, בעיקר </w:t>
      </w:r>
      <w:r w:rsidR="00EB275E">
        <w:rPr>
          <w:rFonts w:ascii="AdvP92DE" w:hAnsi="AdvP92DE" w:hint="cs"/>
          <w:sz w:val="24"/>
          <w:szCs w:val="24"/>
          <w:rtl/>
        </w:rPr>
        <w:t xml:space="preserve">כאשר למצב זה </w:t>
      </w:r>
      <w:r>
        <w:rPr>
          <w:rFonts w:ascii="AdvP92DE" w:hAnsi="AdvP92DE" w:hint="cs"/>
          <w:sz w:val="24"/>
          <w:szCs w:val="24"/>
          <w:rtl/>
        </w:rPr>
        <w:t>ח</w:t>
      </w:r>
      <w:r w:rsidR="00EB275E">
        <w:rPr>
          <w:rFonts w:ascii="AdvP92DE" w:hAnsi="AdvP92DE" w:hint="cs"/>
          <w:sz w:val="24"/>
          <w:szCs w:val="24"/>
          <w:rtl/>
        </w:rPr>
        <w:t>ו</w:t>
      </w:r>
      <w:r>
        <w:rPr>
          <w:rFonts w:ascii="AdvP92DE" w:hAnsi="AdvP92DE" w:hint="cs"/>
          <w:sz w:val="24"/>
          <w:szCs w:val="24"/>
          <w:rtl/>
        </w:rPr>
        <w:t>בר מעמד סוציו-אקונומי, אבטלה לסירוגין ודיור מוגבל שאפיין את המדגם.</w:t>
      </w:r>
    </w:p>
    <w:p w:rsidR="00F55E2F" w:rsidRPr="00EB275E" w:rsidRDefault="00F55E2F" w:rsidP="00D41E65">
      <w:pPr>
        <w:autoSpaceDE w:val="0"/>
        <w:autoSpaceDN w:val="0"/>
        <w:adjustRightInd w:val="0"/>
        <w:spacing w:after="0" w:line="360" w:lineRule="auto"/>
        <w:rPr>
          <w:rFonts w:ascii="AdvP92DE" w:hAnsi="AdvP92DE"/>
          <w:sz w:val="24"/>
          <w:szCs w:val="24"/>
          <w:u w:val="single"/>
          <w:rtl/>
        </w:rPr>
      </w:pPr>
      <w:r w:rsidRPr="00EB275E">
        <w:rPr>
          <w:rFonts w:ascii="AdvP92DE" w:hAnsi="AdvP92DE" w:hint="cs"/>
          <w:sz w:val="24"/>
          <w:szCs w:val="24"/>
          <w:u w:val="single"/>
          <w:rtl/>
        </w:rPr>
        <w:t>השלכות קליניות</w:t>
      </w:r>
    </w:p>
    <w:p w:rsidR="00F55E2F" w:rsidRDefault="00F55E2F" w:rsidP="00EB275E">
      <w:pPr>
        <w:autoSpaceDE w:val="0"/>
        <w:autoSpaceDN w:val="0"/>
        <w:adjustRightInd w:val="0"/>
        <w:spacing w:after="0" w:line="360" w:lineRule="auto"/>
        <w:rPr>
          <w:rFonts w:ascii="AdvP92DE" w:hAnsi="AdvP92DE"/>
          <w:sz w:val="24"/>
          <w:szCs w:val="24"/>
          <w:rtl/>
        </w:rPr>
      </w:pPr>
      <w:r>
        <w:rPr>
          <w:rFonts w:ascii="AdvP92DE" w:hAnsi="AdvP92DE" w:hint="cs"/>
          <w:sz w:val="24"/>
          <w:szCs w:val="24"/>
          <w:rtl/>
        </w:rPr>
        <w:t>הממצאים מספקים ראיות מובהקות לכך שיחסי אם-ילד הם גורם שינוי חשוב שמביא לשמירה טוב</w:t>
      </w:r>
      <w:r w:rsidR="00EB275E">
        <w:rPr>
          <w:rFonts w:ascii="AdvP92DE" w:hAnsi="AdvP92DE" w:hint="cs"/>
          <w:sz w:val="24"/>
          <w:szCs w:val="24"/>
          <w:rtl/>
        </w:rPr>
        <w:t>ה</w:t>
      </w:r>
      <w:r>
        <w:rPr>
          <w:rFonts w:ascii="AdvP92DE" w:hAnsi="AdvP92DE" w:hint="cs"/>
          <w:sz w:val="24"/>
          <w:szCs w:val="24"/>
          <w:rtl/>
        </w:rPr>
        <w:t xml:space="preserve"> יותר של השפעות הטיפול עבור ילדי הגן ואמותיהם שנחשפו לאלימות בבית בהשוואה לקבוצת הביקורת. הממצאים מאשרים את הפרמטרים של הפרקטיקה עליה המליצו </w:t>
      </w:r>
      <w:r>
        <w:rPr>
          <w:rFonts w:ascii="AdvP92DE" w:hAnsi="AdvP92DE"/>
          <w:sz w:val="24"/>
          <w:szCs w:val="24"/>
        </w:rPr>
        <w:t>Cohen et al.</w:t>
      </w:r>
      <w:r w:rsidR="00EB275E">
        <w:rPr>
          <w:rFonts w:ascii="AdvP92DE" w:hAnsi="AdvP92DE" w:hint="cs"/>
          <w:sz w:val="24"/>
          <w:szCs w:val="24"/>
          <w:rtl/>
        </w:rPr>
        <w:t xml:space="preserve"> (1998), </w:t>
      </w:r>
      <w:r>
        <w:rPr>
          <w:rFonts w:ascii="AdvP92DE" w:hAnsi="AdvP92DE" w:hint="cs"/>
          <w:sz w:val="24"/>
          <w:szCs w:val="24"/>
          <w:rtl/>
        </w:rPr>
        <w:t xml:space="preserve">שממליצה על הכללת הורים כרכיב בלתי נפרד בטיפולי </w:t>
      </w:r>
      <w:r>
        <w:rPr>
          <w:rFonts w:ascii="AdvP92DE" w:hAnsi="AdvP92DE" w:hint="cs"/>
          <w:sz w:val="24"/>
          <w:szCs w:val="24"/>
        </w:rPr>
        <w:t>PTSD</w:t>
      </w:r>
      <w:r>
        <w:rPr>
          <w:rFonts w:ascii="AdvP92DE" w:hAnsi="AdvP92DE" w:hint="cs"/>
          <w:sz w:val="24"/>
          <w:szCs w:val="24"/>
          <w:rtl/>
        </w:rPr>
        <w:t xml:space="preserve"> של ילדים ובני נוער. המחקר תומך בהנחה שהרווחים מ-</w:t>
      </w:r>
      <w:r>
        <w:rPr>
          <w:rFonts w:ascii="AdvP92DE" w:hAnsi="AdvP92DE" w:hint="cs"/>
          <w:sz w:val="24"/>
          <w:szCs w:val="24"/>
        </w:rPr>
        <w:t>CPP</w:t>
      </w:r>
      <w:r>
        <w:rPr>
          <w:rFonts w:ascii="AdvP92DE" w:hAnsi="AdvP92DE" w:hint="cs"/>
          <w:sz w:val="24"/>
          <w:szCs w:val="24"/>
          <w:rtl/>
        </w:rPr>
        <w:t xml:space="preserve"> נשמרים </w:t>
      </w:r>
      <w:r w:rsidR="00EB275E">
        <w:rPr>
          <w:rFonts w:ascii="AdvP92DE" w:hAnsi="AdvP92DE" w:hint="cs"/>
          <w:sz w:val="24"/>
          <w:szCs w:val="24"/>
          <w:rtl/>
        </w:rPr>
        <w:t xml:space="preserve">לאורך </w:t>
      </w:r>
      <w:r>
        <w:rPr>
          <w:rFonts w:ascii="AdvP92DE" w:hAnsi="AdvP92DE" w:hint="cs"/>
          <w:sz w:val="24"/>
          <w:szCs w:val="24"/>
          <w:rtl/>
        </w:rPr>
        <w:t>זמן</w:t>
      </w:r>
      <w:r w:rsidR="00D41E65">
        <w:rPr>
          <w:rFonts w:ascii="AdvP92DE" w:hAnsi="AdvP92DE" w:hint="cs"/>
          <w:sz w:val="24"/>
          <w:szCs w:val="24"/>
          <w:rtl/>
        </w:rPr>
        <w:t xml:space="preserve"> ומעניק משקל נוסף לראיות האמפיריות הקיימות שתומכות ביעילות ה-</w:t>
      </w:r>
      <w:r w:rsidR="00D41E65">
        <w:rPr>
          <w:rFonts w:ascii="AdvP92DE" w:hAnsi="AdvP92DE" w:hint="cs"/>
          <w:sz w:val="24"/>
          <w:szCs w:val="24"/>
        </w:rPr>
        <w:t>CPP</w:t>
      </w:r>
      <w:r w:rsidR="00D41E65">
        <w:rPr>
          <w:rFonts w:ascii="AdvP92DE" w:hAnsi="AdvP92DE" w:hint="cs"/>
          <w:sz w:val="24"/>
          <w:szCs w:val="24"/>
          <w:rtl/>
        </w:rPr>
        <w:t>.</w:t>
      </w:r>
    </w:p>
    <w:p w:rsidR="007F39FF" w:rsidRPr="006C42EB" w:rsidRDefault="007F39FF" w:rsidP="00D41E65">
      <w:pPr>
        <w:bidi w:val="0"/>
        <w:spacing w:line="360" w:lineRule="auto"/>
        <w:rPr>
          <w:rFonts w:asciiTheme="majorBidi" w:hAnsiTheme="majorBidi" w:cstheme="majorBidi"/>
          <w:color w:val="000000" w:themeColor="text1"/>
          <w:sz w:val="20"/>
          <w:szCs w:val="20"/>
        </w:rPr>
      </w:pPr>
    </w:p>
    <w:sectPr w:rsidR="007F39FF" w:rsidRPr="006C42EB"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P92DE">
    <w:altName w:val="Times New Roman"/>
    <w:panose1 w:val="00000000000000000000"/>
    <w:charset w:val="00"/>
    <w:family w:val="roman"/>
    <w:notTrueType/>
    <w:pitch w:val="default"/>
    <w:sig w:usb0="00000003" w:usb1="00000000" w:usb2="00000000" w:usb3="00000000" w:csb0="00000001" w:csb1="00000000"/>
  </w:font>
  <w:font w:name="AdvP0005">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91902"/>
    <w:multiLevelType w:val="hybridMultilevel"/>
    <w:tmpl w:val="E3CEE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C57A9C"/>
    <w:multiLevelType w:val="hybridMultilevel"/>
    <w:tmpl w:val="AE2C49C8"/>
    <w:lvl w:ilvl="0" w:tplc="A5646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94188"/>
    <w:multiLevelType w:val="hybridMultilevel"/>
    <w:tmpl w:val="6520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EF3F6C"/>
    <w:multiLevelType w:val="hybridMultilevel"/>
    <w:tmpl w:val="C5F61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463BA7"/>
    <w:multiLevelType w:val="hybridMultilevel"/>
    <w:tmpl w:val="7AC2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B35BFA"/>
    <w:multiLevelType w:val="hybridMultilevel"/>
    <w:tmpl w:val="BC60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EB"/>
    <w:rsid w:val="00034966"/>
    <w:rsid w:val="00036F25"/>
    <w:rsid w:val="000723F2"/>
    <w:rsid w:val="00093238"/>
    <w:rsid w:val="000C4982"/>
    <w:rsid w:val="000E7B6E"/>
    <w:rsid w:val="00112F59"/>
    <w:rsid w:val="00114318"/>
    <w:rsid w:val="001152A5"/>
    <w:rsid w:val="00171EFB"/>
    <w:rsid w:val="00182B82"/>
    <w:rsid w:val="00194A35"/>
    <w:rsid w:val="00197DC6"/>
    <w:rsid w:val="001C1593"/>
    <w:rsid w:val="001D7AC3"/>
    <w:rsid w:val="001E46A1"/>
    <w:rsid w:val="001F3220"/>
    <w:rsid w:val="00204F89"/>
    <w:rsid w:val="00220CE0"/>
    <w:rsid w:val="0027056A"/>
    <w:rsid w:val="002876ED"/>
    <w:rsid w:val="00295796"/>
    <w:rsid w:val="002973C2"/>
    <w:rsid w:val="002E5E8A"/>
    <w:rsid w:val="002F798F"/>
    <w:rsid w:val="0032243A"/>
    <w:rsid w:val="00372C2E"/>
    <w:rsid w:val="00396C43"/>
    <w:rsid w:val="003D254F"/>
    <w:rsid w:val="003F55C9"/>
    <w:rsid w:val="0043272E"/>
    <w:rsid w:val="00446E9C"/>
    <w:rsid w:val="004774F2"/>
    <w:rsid w:val="004949FE"/>
    <w:rsid w:val="004E1934"/>
    <w:rsid w:val="004E3387"/>
    <w:rsid w:val="00515B6A"/>
    <w:rsid w:val="0052771E"/>
    <w:rsid w:val="0057377A"/>
    <w:rsid w:val="00573E4F"/>
    <w:rsid w:val="00576D92"/>
    <w:rsid w:val="005A57BC"/>
    <w:rsid w:val="005D33FB"/>
    <w:rsid w:val="00602ADC"/>
    <w:rsid w:val="006142FB"/>
    <w:rsid w:val="00636C00"/>
    <w:rsid w:val="0065008C"/>
    <w:rsid w:val="006578AD"/>
    <w:rsid w:val="00661B91"/>
    <w:rsid w:val="00672332"/>
    <w:rsid w:val="006B49C0"/>
    <w:rsid w:val="006B4E1D"/>
    <w:rsid w:val="006C42EB"/>
    <w:rsid w:val="006D43F6"/>
    <w:rsid w:val="006E6E27"/>
    <w:rsid w:val="006F3868"/>
    <w:rsid w:val="006F67E7"/>
    <w:rsid w:val="007205E9"/>
    <w:rsid w:val="00735859"/>
    <w:rsid w:val="00735BA9"/>
    <w:rsid w:val="007A4E72"/>
    <w:rsid w:val="007B6611"/>
    <w:rsid w:val="007F39FF"/>
    <w:rsid w:val="008104D8"/>
    <w:rsid w:val="008244F1"/>
    <w:rsid w:val="008356B5"/>
    <w:rsid w:val="0083663B"/>
    <w:rsid w:val="00850940"/>
    <w:rsid w:val="00881940"/>
    <w:rsid w:val="008851F8"/>
    <w:rsid w:val="008A417F"/>
    <w:rsid w:val="008B0ADE"/>
    <w:rsid w:val="008B1153"/>
    <w:rsid w:val="008E73B1"/>
    <w:rsid w:val="00924D0B"/>
    <w:rsid w:val="009468C9"/>
    <w:rsid w:val="009877C9"/>
    <w:rsid w:val="009A71FF"/>
    <w:rsid w:val="009C2F6A"/>
    <w:rsid w:val="009C5D8C"/>
    <w:rsid w:val="009D42C7"/>
    <w:rsid w:val="00A235F1"/>
    <w:rsid w:val="00A54278"/>
    <w:rsid w:val="00A70D50"/>
    <w:rsid w:val="00A74E69"/>
    <w:rsid w:val="00AE13BC"/>
    <w:rsid w:val="00AE62DB"/>
    <w:rsid w:val="00AE6B1A"/>
    <w:rsid w:val="00B04742"/>
    <w:rsid w:val="00B14B6E"/>
    <w:rsid w:val="00B152CC"/>
    <w:rsid w:val="00B7396F"/>
    <w:rsid w:val="00B951E6"/>
    <w:rsid w:val="00BD105E"/>
    <w:rsid w:val="00BD71D4"/>
    <w:rsid w:val="00C05CFB"/>
    <w:rsid w:val="00C25442"/>
    <w:rsid w:val="00CD3C51"/>
    <w:rsid w:val="00CD7F74"/>
    <w:rsid w:val="00D22C76"/>
    <w:rsid w:val="00D4157C"/>
    <w:rsid w:val="00D41E65"/>
    <w:rsid w:val="00D91C5D"/>
    <w:rsid w:val="00D949AC"/>
    <w:rsid w:val="00DA4400"/>
    <w:rsid w:val="00DA6FF9"/>
    <w:rsid w:val="00DD4CAD"/>
    <w:rsid w:val="00E04C78"/>
    <w:rsid w:val="00E128F1"/>
    <w:rsid w:val="00E476FE"/>
    <w:rsid w:val="00E51018"/>
    <w:rsid w:val="00E5448D"/>
    <w:rsid w:val="00E637ED"/>
    <w:rsid w:val="00E66483"/>
    <w:rsid w:val="00EA3796"/>
    <w:rsid w:val="00EB14FF"/>
    <w:rsid w:val="00EB275E"/>
    <w:rsid w:val="00F144E0"/>
    <w:rsid w:val="00F51355"/>
    <w:rsid w:val="00F55E2F"/>
    <w:rsid w:val="00F60208"/>
    <w:rsid w:val="00F81265"/>
    <w:rsid w:val="00F821E1"/>
    <w:rsid w:val="00F95929"/>
    <w:rsid w:val="00FF42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3517-0879-4B81-9856-1D0B6334C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1812</Words>
  <Characters>9063</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חכמון</cp:lastModifiedBy>
  <cp:revision>3</cp:revision>
  <dcterms:created xsi:type="dcterms:W3CDTF">2019-03-14T11:09:00Z</dcterms:created>
  <dcterms:modified xsi:type="dcterms:W3CDTF">2019-03-14T11:23:00Z</dcterms:modified>
</cp:coreProperties>
</file>